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40787" w14:textId="77777777" w:rsidR="00676E67" w:rsidRDefault="00000000">
      <w:pPr>
        <w:jc w:val="center"/>
      </w:pPr>
      <w:r>
        <w:rPr>
          <w:noProof/>
        </w:rPr>
        <w:drawing>
          <wp:inline distT="0" distB="0" distL="0" distR="0" wp14:anchorId="4A4429E5" wp14:editId="34080A56">
            <wp:extent cx="2468880" cy="24688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8"/>
                    <a:stretch>
                      <a:fillRect/>
                    </a:stretch>
                  </pic:blipFill>
                  <pic:spPr>
                    <a:xfrm>
                      <a:off x="0" y="0"/>
                      <a:ext cx="2468880" cy="2468880"/>
                    </a:xfrm>
                    <a:prstGeom prst="rect">
                      <a:avLst/>
                    </a:prstGeom>
                  </pic:spPr>
                </pic:pic>
              </a:graphicData>
            </a:graphic>
          </wp:inline>
        </w:drawing>
      </w:r>
    </w:p>
    <w:p w14:paraId="1AC1C340" w14:textId="77777777" w:rsidR="00676E67" w:rsidRDefault="00000000">
      <w:pPr>
        <w:jc w:val="center"/>
      </w:pPr>
      <w:r>
        <w:rPr>
          <w:b/>
          <w:color w:val="0F3158"/>
          <w:sz w:val="48"/>
        </w:rPr>
        <w:t>Onboarding Planner</w:t>
      </w:r>
    </w:p>
    <w:p w14:paraId="166C35BC" w14:textId="45D1815F" w:rsidR="00676E67" w:rsidRDefault="00942517">
      <w:pPr>
        <w:jc w:val="center"/>
      </w:pPr>
      <w:r>
        <w:rPr>
          <w:i/>
          <w:color w:val="5C6A7D"/>
          <w:sz w:val="23"/>
        </w:rPr>
        <w:br/>
      </w:r>
      <w:r w:rsidR="00000000">
        <w:rPr>
          <w:i/>
          <w:color w:val="5C6A7D"/>
          <w:sz w:val="23"/>
        </w:rPr>
        <w:t>A practical remote onboarding planner for mapping responsibilities, timelines, access, payroll support, training, and first-30-day success.</w:t>
      </w:r>
    </w:p>
    <w:tbl>
      <w:tblPr>
        <w:tblW w:w="0" w:type="auto"/>
        <w:jc w:val="center"/>
        <w:tblLook w:val="04A0" w:firstRow="1" w:lastRow="0" w:firstColumn="1" w:lastColumn="0" w:noHBand="0" w:noVBand="1"/>
      </w:tblPr>
      <w:tblGrid>
        <w:gridCol w:w="10224"/>
      </w:tblGrid>
      <w:tr w:rsidR="00676E67" w14:paraId="14D7CAB9" w14:textId="77777777">
        <w:trPr>
          <w:jc w:val="center"/>
        </w:trPr>
        <w:tc>
          <w:tcPr>
            <w:tcW w:w="10224" w:type="dxa"/>
            <w:shd w:val="clear" w:color="auto" w:fill="EAF2FB"/>
          </w:tcPr>
          <w:p w14:paraId="50562BB6" w14:textId="115CF3A7" w:rsidR="00676E67" w:rsidRDefault="00942517">
            <w:pPr>
              <w:jc w:val="center"/>
            </w:pPr>
            <w:r>
              <w:rPr>
                <w:color w:val="0F3158"/>
                <w:sz w:val="18"/>
              </w:rPr>
              <w:br/>
            </w:r>
            <w:r w:rsidR="00000000">
              <w:rPr>
                <w:color w:val="0F3158"/>
                <w:sz w:val="18"/>
              </w:rPr>
              <w:t>Keywords: onboarding planner, remote onboarding plan, new hire onboarding planner, remote team onboarding, payroll support, compliance coordination</w:t>
            </w:r>
          </w:p>
        </w:tc>
      </w:tr>
      <w:tr w:rsidR="00676E67" w14:paraId="5E2E4D12" w14:textId="77777777">
        <w:trPr>
          <w:jc w:val="center"/>
        </w:trPr>
        <w:tc>
          <w:tcPr>
            <w:tcW w:w="10224" w:type="dxa"/>
            <w:shd w:val="clear" w:color="auto" w:fill="F7FAFD"/>
          </w:tcPr>
          <w:p w14:paraId="3588DA5F" w14:textId="35FC14DA" w:rsidR="00676E67" w:rsidRDefault="00942517">
            <w:pPr>
              <w:spacing w:after="0"/>
            </w:pPr>
            <w:r>
              <w:br/>
            </w:r>
            <w:r w:rsidR="00000000">
              <w:t>Borderless Talent Hub supports businesses with global remote talent, payroll support, compliance coordination, onboarding support, and scalable team models. This guide is designed to help decision-makers plan with greater clarity before recruitment, onboarding, and operational handover begin.</w:t>
            </w:r>
          </w:p>
        </w:tc>
      </w:tr>
    </w:tbl>
    <w:p w14:paraId="314F8E39" w14:textId="22B8B81A" w:rsidR="00676E67" w:rsidRDefault="00942517">
      <w:r>
        <w:br/>
      </w:r>
    </w:p>
    <w:p w14:paraId="540FDCA6" w14:textId="77777777" w:rsidR="00676E67" w:rsidRDefault="00000000">
      <w:pPr>
        <w:pStyle w:val="Heading1"/>
      </w:pPr>
      <w:r>
        <w:t>Plan onboarding with more structure and less risk</w:t>
      </w:r>
    </w:p>
    <w:p w14:paraId="7F90B221" w14:textId="77777777" w:rsidR="00676E67" w:rsidRDefault="00000000">
      <w:pPr>
        <w:spacing w:after="100"/>
      </w:pPr>
      <w:r>
        <w:t>A remote onboarding plan should do more than list tasks. It should connect the role, the manager, the business objective, the operational support model, and the first-stage success measures into one coordinated plan. This is especially important when businesses are onboarding remote hires across borders, building dedicated teams, or introducing payroll support and compliance coordination into the process.</w:t>
      </w:r>
    </w:p>
    <w:p w14:paraId="6D0E966B" w14:textId="237B8D2C" w:rsidR="00676E67" w:rsidRDefault="00000000">
      <w:pPr>
        <w:spacing w:after="100"/>
      </w:pPr>
      <w:r>
        <w:t xml:space="preserve">This onboarding planner gives businesses a more detailed structure for organising the first phase of a new hire's journey. It can be used alongside a hiring checklist, role planning worksheet, and onboarding checklist to create a </w:t>
      </w:r>
      <w:r>
        <w:lastRenderedPageBreak/>
        <w:t>cleaner transition from offer stage to productive contribution.</w:t>
      </w:r>
      <w:r w:rsidR="00942517">
        <w:br/>
      </w:r>
    </w:p>
    <w:p w14:paraId="63AD7F94" w14:textId="77777777" w:rsidR="00676E67" w:rsidRDefault="00000000">
      <w:pPr>
        <w:pStyle w:val="Heading2"/>
      </w:pPr>
      <w:r>
        <w:t>Onboarding planner overview</w:t>
      </w:r>
    </w:p>
    <w:tbl>
      <w:tblPr>
        <w:tblW w:w="0" w:type="auto"/>
        <w:jc w:val="center"/>
        <w:tblBorders>
          <w:top w:val="single" w:sz="8" w:space="0" w:color="D6E0EC"/>
          <w:left w:val="single" w:sz="8" w:space="0" w:color="D6E0EC"/>
          <w:bottom w:val="single" w:sz="8" w:space="0" w:color="D6E0EC"/>
          <w:right w:val="single" w:sz="8" w:space="0" w:color="D6E0EC"/>
          <w:insideH w:val="single" w:sz="8" w:space="0" w:color="D6E0EC"/>
          <w:insideV w:val="single" w:sz="8" w:space="0" w:color="D6E0EC"/>
        </w:tblBorders>
        <w:tblLook w:val="04A0" w:firstRow="1" w:lastRow="0" w:firstColumn="1" w:lastColumn="0" w:noHBand="0" w:noVBand="1"/>
      </w:tblPr>
      <w:tblGrid>
        <w:gridCol w:w="4658"/>
        <w:gridCol w:w="5782"/>
      </w:tblGrid>
      <w:tr w:rsidR="00676E67" w14:paraId="3737CC96" w14:textId="77777777">
        <w:trPr>
          <w:tblHeader/>
          <w:jc w:val="center"/>
        </w:trPr>
        <w:tc>
          <w:tcPr>
            <w:tcW w:w="5112" w:type="dxa"/>
            <w:shd w:val="clear" w:color="auto" w:fill="EAF2FB"/>
          </w:tcPr>
          <w:p w14:paraId="12044296" w14:textId="77777777" w:rsidR="00676E67" w:rsidRDefault="00000000">
            <w:r>
              <w:rPr>
                <w:b/>
                <w:color w:val="0F3158"/>
                <w:sz w:val="18"/>
              </w:rPr>
              <w:t>Planner section</w:t>
            </w:r>
          </w:p>
        </w:tc>
        <w:tc>
          <w:tcPr>
            <w:tcW w:w="5112" w:type="dxa"/>
            <w:shd w:val="clear" w:color="auto" w:fill="EAF2FB"/>
          </w:tcPr>
          <w:p w14:paraId="487B2499" w14:textId="77777777" w:rsidR="00676E67" w:rsidRDefault="00000000">
            <w:r>
              <w:rPr>
                <w:b/>
                <w:color w:val="0F3158"/>
                <w:sz w:val="18"/>
              </w:rPr>
              <w:t>What to define</w:t>
            </w:r>
          </w:p>
        </w:tc>
      </w:tr>
      <w:tr w:rsidR="00676E67" w14:paraId="6AAEDCA2" w14:textId="77777777">
        <w:trPr>
          <w:jc w:val="center"/>
        </w:trPr>
        <w:tc>
          <w:tcPr>
            <w:tcW w:w="3168" w:type="dxa"/>
            <w:vAlign w:val="center"/>
          </w:tcPr>
          <w:p w14:paraId="72B06983" w14:textId="77777777" w:rsidR="00676E67" w:rsidRDefault="00000000">
            <w:pPr>
              <w:spacing w:after="0" w:line="264" w:lineRule="auto"/>
            </w:pPr>
            <w:r>
              <w:rPr>
                <w:sz w:val="19"/>
              </w:rPr>
              <w:t>Role and reporting context</w:t>
            </w:r>
          </w:p>
        </w:tc>
        <w:tc>
          <w:tcPr>
            <w:tcW w:w="6336" w:type="dxa"/>
            <w:vAlign w:val="center"/>
          </w:tcPr>
          <w:p w14:paraId="74CCAA51" w14:textId="77777777" w:rsidR="00676E67" w:rsidRDefault="00000000">
            <w:pPr>
              <w:spacing w:after="0" w:line="264" w:lineRule="auto"/>
            </w:pPr>
            <w:r>
              <w:rPr>
                <w:sz w:val="19"/>
              </w:rPr>
              <w:t>What the role exists to achieve, who manages it, how it fits into the wider team, and what success should look like.</w:t>
            </w:r>
          </w:p>
        </w:tc>
      </w:tr>
      <w:tr w:rsidR="00676E67" w14:paraId="4131514E" w14:textId="77777777">
        <w:trPr>
          <w:jc w:val="center"/>
        </w:trPr>
        <w:tc>
          <w:tcPr>
            <w:tcW w:w="3168" w:type="dxa"/>
            <w:vAlign w:val="center"/>
          </w:tcPr>
          <w:p w14:paraId="515332C1" w14:textId="77777777" w:rsidR="00676E67" w:rsidRDefault="00000000">
            <w:pPr>
              <w:spacing w:after="0" w:line="264" w:lineRule="auto"/>
            </w:pPr>
            <w:r>
              <w:rPr>
                <w:sz w:val="19"/>
              </w:rPr>
              <w:t>Pre-start preparation</w:t>
            </w:r>
          </w:p>
        </w:tc>
        <w:tc>
          <w:tcPr>
            <w:tcW w:w="6336" w:type="dxa"/>
            <w:vAlign w:val="center"/>
          </w:tcPr>
          <w:p w14:paraId="7FCEF246" w14:textId="77777777" w:rsidR="00676E67" w:rsidRDefault="00000000">
            <w:pPr>
              <w:spacing w:after="0" w:line="264" w:lineRule="auto"/>
            </w:pPr>
            <w:r>
              <w:rPr>
                <w:sz w:val="19"/>
              </w:rPr>
              <w:t>Contracts, payroll setup, access planning, documentation, and operational readiness before the start date.</w:t>
            </w:r>
          </w:p>
        </w:tc>
      </w:tr>
      <w:tr w:rsidR="00676E67" w14:paraId="4F11DF3B" w14:textId="77777777">
        <w:trPr>
          <w:jc w:val="center"/>
        </w:trPr>
        <w:tc>
          <w:tcPr>
            <w:tcW w:w="3168" w:type="dxa"/>
            <w:vAlign w:val="center"/>
          </w:tcPr>
          <w:p w14:paraId="1C08EA24" w14:textId="77777777" w:rsidR="00676E67" w:rsidRDefault="00000000">
            <w:pPr>
              <w:spacing w:after="0" w:line="264" w:lineRule="auto"/>
            </w:pPr>
            <w:r>
              <w:rPr>
                <w:sz w:val="19"/>
              </w:rPr>
              <w:t>First-week structure</w:t>
            </w:r>
          </w:p>
        </w:tc>
        <w:tc>
          <w:tcPr>
            <w:tcW w:w="6336" w:type="dxa"/>
            <w:vAlign w:val="center"/>
          </w:tcPr>
          <w:p w14:paraId="1D0B2186" w14:textId="77777777" w:rsidR="00676E67" w:rsidRDefault="00000000">
            <w:pPr>
              <w:spacing w:after="0" w:line="264" w:lineRule="auto"/>
            </w:pPr>
            <w:r>
              <w:rPr>
                <w:sz w:val="19"/>
              </w:rPr>
              <w:t>Meetings, introductions, workflow orientation, system setup, and practical first outputs.</w:t>
            </w:r>
          </w:p>
        </w:tc>
      </w:tr>
      <w:tr w:rsidR="00676E67" w14:paraId="1F425C05" w14:textId="77777777">
        <w:trPr>
          <w:jc w:val="center"/>
        </w:trPr>
        <w:tc>
          <w:tcPr>
            <w:tcW w:w="3168" w:type="dxa"/>
            <w:vAlign w:val="center"/>
          </w:tcPr>
          <w:p w14:paraId="7BADB432" w14:textId="77777777" w:rsidR="00676E67" w:rsidRDefault="00000000">
            <w:pPr>
              <w:spacing w:after="0" w:line="264" w:lineRule="auto"/>
            </w:pPr>
            <w:r>
              <w:rPr>
                <w:sz w:val="19"/>
              </w:rPr>
              <w:t>Training and process handover</w:t>
            </w:r>
          </w:p>
        </w:tc>
        <w:tc>
          <w:tcPr>
            <w:tcW w:w="6336" w:type="dxa"/>
            <w:vAlign w:val="center"/>
          </w:tcPr>
          <w:p w14:paraId="51E6D33B" w14:textId="77777777" w:rsidR="00676E67" w:rsidRDefault="00000000">
            <w:pPr>
              <w:spacing w:after="0" w:line="264" w:lineRule="auto"/>
            </w:pPr>
            <w:r>
              <w:rPr>
                <w:sz w:val="19"/>
              </w:rPr>
              <w:t>SOPs, reporting standards, quality expectations, systems training, and escalation routes.</w:t>
            </w:r>
          </w:p>
        </w:tc>
      </w:tr>
      <w:tr w:rsidR="00676E67" w14:paraId="76094F1A" w14:textId="77777777">
        <w:trPr>
          <w:jc w:val="center"/>
        </w:trPr>
        <w:tc>
          <w:tcPr>
            <w:tcW w:w="3168" w:type="dxa"/>
            <w:vAlign w:val="center"/>
          </w:tcPr>
          <w:p w14:paraId="4FD100A2" w14:textId="77777777" w:rsidR="00676E67" w:rsidRDefault="00000000">
            <w:pPr>
              <w:spacing w:after="0" w:line="264" w:lineRule="auto"/>
            </w:pPr>
            <w:r>
              <w:rPr>
                <w:sz w:val="19"/>
              </w:rPr>
              <w:t>30-day success plan</w:t>
            </w:r>
          </w:p>
        </w:tc>
        <w:tc>
          <w:tcPr>
            <w:tcW w:w="6336" w:type="dxa"/>
            <w:vAlign w:val="center"/>
          </w:tcPr>
          <w:p w14:paraId="2012385F" w14:textId="77777777" w:rsidR="00676E67" w:rsidRDefault="00000000">
            <w:pPr>
              <w:spacing w:after="0" w:line="264" w:lineRule="auto"/>
            </w:pPr>
            <w:r>
              <w:rPr>
                <w:sz w:val="19"/>
              </w:rPr>
              <w:t>Short-term targets, review points, support actions, and any refinements needed to role scope or workflow.</w:t>
            </w:r>
          </w:p>
        </w:tc>
      </w:tr>
    </w:tbl>
    <w:p w14:paraId="5E2C9A4B" w14:textId="55E38EA6" w:rsidR="00676E67" w:rsidRDefault="00942517">
      <w:r>
        <w:br/>
      </w:r>
    </w:p>
    <w:p w14:paraId="70282734" w14:textId="77777777" w:rsidR="00676E67" w:rsidRDefault="00000000">
      <w:pPr>
        <w:pStyle w:val="Heading2"/>
      </w:pPr>
      <w:r>
        <w:t>Section 1 - Role, context, and business objective</w:t>
      </w:r>
    </w:p>
    <w:tbl>
      <w:tblPr>
        <w:tblW w:w="0" w:type="auto"/>
        <w:jc w:val="center"/>
        <w:tblBorders>
          <w:top w:val="single" w:sz="8" w:space="0" w:color="D6E0EC"/>
          <w:left w:val="single" w:sz="8" w:space="0" w:color="D6E0EC"/>
          <w:bottom w:val="single" w:sz="8" w:space="0" w:color="D6E0EC"/>
          <w:right w:val="single" w:sz="8" w:space="0" w:color="D6E0EC"/>
          <w:insideH w:val="single" w:sz="8" w:space="0" w:color="D6E0EC"/>
          <w:insideV w:val="single" w:sz="8" w:space="0" w:color="D6E0EC"/>
        </w:tblBorders>
        <w:tblLook w:val="04A0" w:firstRow="1" w:lastRow="0" w:firstColumn="1" w:lastColumn="0" w:noHBand="0" w:noVBand="1"/>
      </w:tblPr>
      <w:tblGrid>
        <w:gridCol w:w="2792"/>
        <w:gridCol w:w="3817"/>
        <w:gridCol w:w="3831"/>
      </w:tblGrid>
      <w:tr w:rsidR="00676E67" w14:paraId="72FDC5FE" w14:textId="77777777">
        <w:trPr>
          <w:tblHeader/>
          <w:jc w:val="center"/>
        </w:trPr>
        <w:tc>
          <w:tcPr>
            <w:tcW w:w="3408" w:type="dxa"/>
            <w:shd w:val="clear" w:color="auto" w:fill="EAF2FB"/>
            <w:vAlign w:val="center"/>
          </w:tcPr>
          <w:p w14:paraId="4F74EEAD" w14:textId="77777777" w:rsidR="00676E67" w:rsidRDefault="00676E67">
            <w:pPr>
              <w:jc w:val="center"/>
            </w:pPr>
          </w:p>
        </w:tc>
        <w:tc>
          <w:tcPr>
            <w:tcW w:w="3408" w:type="dxa"/>
            <w:shd w:val="clear" w:color="auto" w:fill="EAF2FB"/>
            <w:vAlign w:val="center"/>
          </w:tcPr>
          <w:p w14:paraId="53F53531" w14:textId="77777777" w:rsidR="00676E67" w:rsidRDefault="00000000">
            <w:r>
              <w:rPr>
                <w:b/>
                <w:color w:val="0F3158"/>
                <w:sz w:val="18"/>
              </w:rPr>
              <w:t>Planning checkpoint</w:t>
            </w:r>
          </w:p>
        </w:tc>
        <w:tc>
          <w:tcPr>
            <w:tcW w:w="3408" w:type="dxa"/>
            <w:shd w:val="clear" w:color="auto" w:fill="EAF2FB"/>
            <w:vAlign w:val="center"/>
          </w:tcPr>
          <w:p w14:paraId="01068A8C" w14:textId="77777777" w:rsidR="00676E67" w:rsidRDefault="00000000">
            <w:r>
              <w:rPr>
                <w:b/>
                <w:color w:val="0F3158"/>
                <w:sz w:val="18"/>
              </w:rPr>
              <w:t>Notes / action owner</w:t>
            </w:r>
          </w:p>
        </w:tc>
      </w:tr>
      <w:tr w:rsidR="00676E67" w14:paraId="29C59927" w14:textId="77777777">
        <w:trPr>
          <w:jc w:val="center"/>
        </w:trPr>
        <w:tc>
          <w:tcPr>
            <w:tcW w:w="648" w:type="dxa"/>
            <w:vAlign w:val="center"/>
          </w:tcPr>
          <w:p w14:paraId="0CA196C4" w14:textId="77777777" w:rsidR="00676E67" w:rsidRDefault="00000000">
            <w:pPr>
              <w:spacing w:after="0" w:line="264" w:lineRule="auto"/>
              <w:jc w:val="center"/>
            </w:pPr>
            <w:r>
              <w:rPr>
                <w:sz w:val="19"/>
              </w:rPr>
              <w:t>□</w:t>
            </w:r>
          </w:p>
        </w:tc>
        <w:tc>
          <w:tcPr>
            <w:tcW w:w="4392" w:type="dxa"/>
            <w:vAlign w:val="center"/>
          </w:tcPr>
          <w:p w14:paraId="2E219507" w14:textId="77777777" w:rsidR="00676E67" w:rsidRDefault="00000000">
            <w:pPr>
              <w:spacing w:after="0" w:line="264" w:lineRule="auto"/>
            </w:pPr>
            <w:r>
              <w:rPr>
                <w:sz w:val="19"/>
              </w:rPr>
              <w:t>Role title, function, and core purpose are documented.</w:t>
            </w:r>
          </w:p>
        </w:tc>
        <w:tc>
          <w:tcPr>
            <w:tcW w:w="4464" w:type="dxa"/>
            <w:vAlign w:val="center"/>
          </w:tcPr>
          <w:p w14:paraId="595EED61" w14:textId="77777777" w:rsidR="00676E67" w:rsidRDefault="00000000">
            <w:pPr>
              <w:spacing w:after="0" w:line="264" w:lineRule="auto"/>
            </w:pPr>
            <w:r>
              <w:rPr>
                <w:sz w:val="19"/>
              </w:rPr>
              <w:t>State the business problem this hire will help solve.</w:t>
            </w:r>
          </w:p>
        </w:tc>
      </w:tr>
      <w:tr w:rsidR="00676E67" w14:paraId="27C11233" w14:textId="77777777">
        <w:trPr>
          <w:jc w:val="center"/>
        </w:trPr>
        <w:tc>
          <w:tcPr>
            <w:tcW w:w="648" w:type="dxa"/>
            <w:vAlign w:val="center"/>
          </w:tcPr>
          <w:p w14:paraId="1C912AC3" w14:textId="77777777" w:rsidR="00676E67" w:rsidRDefault="00000000">
            <w:pPr>
              <w:spacing w:after="0" w:line="264" w:lineRule="auto"/>
              <w:jc w:val="center"/>
            </w:pPr>
            <w:r>
              <w:rPr>
                <w:sz w:val="19"/>
              </w:rPr>
              <w:t>□</w:t>
            </w:r>
          </w:p>
        </w:tc>
        <w:tc>
          <w:tcPr>
            <w:tcW w:w="4392" w:type="dxa"/>
            <w:vAlign w:val="center"/>
          </w:tcPr>
          <w:p w14:paraId="08223A28" w14:textId="77777777" w:rsidR="00676E67" w:rsidRDefault="00000000">
            <w:pPr>
              <w:spacing w:after="0" w:line="264" w:lineRule="auto"/>
            </w:pPr>
            <w:r>
              <w:rPr>
                <w:sz w:val="19"/>
              </w:rPr>
              <w:t>Reporting line, manager, and operational owner are confirmed.</w:t>
            </w:r>
          </w:p>
        </w:tc>
        <w:tc>
          <w:tcPr>
            <w:tcW w:w="4464" w:type="dxa"/>
            <w:vAlign w:val="center"/>
          </w:tcPr>
          <w:p w14:paraId="241DD6AB" w14:textId="77777777" w:rsidR="00676E67" w:rsidRDefault="00000000">
            <w:pPr>
              <w:spacing w:after="0" w:line="264" w:lineRule="auto"/>
            </w:pPr>
            <w:r>
              <w:rPr>
                <w:sz w:val="19"/>
              </w:rPr>
              <w:t>Clarify decision-making and day-to-day support.</w:t>
            </w:r>
          </w:p>
        </w:tc>
      </w:tr>
      <w:tr w:rsidR="00676E67" w14:paraId="4FAEF68F" w14:textId="77777777">
        <w:trPr>
          <w:jc w:val="center"/>
        </w:trPr>
        <w:tc>
          <w:tcPr>
            <w:tcW w:w="648" w:type="dxa"/>
            <w:vAlign w:val="center"/>
          </w:tcPr>
          <w:p w14:paraId="34E3EB38" w14:textId="77777777" w:rsidR="00676E67" w:rsidRDefault="00000000">
            <w:pPr>
              <w:spacing w:after="0" w:line="264" w:lineRule="auto"/>
              <w:jc w:val="center"/>
            </w:pPr>
            <w:r>
              <w:rPr>
                <w:sz w:val="19"/>
              </w:rPr>
              <w:t>□</w:t>
            </w:r>
          </w:p>
        </w:tc>
        <w:tc>
          <w:tcPr>
            <w:tcW w:w="4392" w:type="dxa"/>
            <w:vAlign w:val="center"/>
          </w:tcPr>
          <w:p w14:paraId="26C3A221" w14:textId="77777777" w:rsidR="00676E67" w:rsidRDefault="00000000">
            <w:pPr>
              <w:spacing w:after="0" w:line="264" w:lineRule="auto"/>
            </w:pPr>
            <w:r>
              <w:rPr>
                <w:sz w:val="19"/>
              </w:rPr>
              <w:t>The support model is confirmed: direct hire support, EOR support, dedicated remote team, or project-based support.</w:t>
            </w:r>
          </w:p>
        </w:tc>
        <w:tc>
          <w:tcPr>
            <w:tcW w:w="4464" w:type="dxa"/>
            <w:vAlign w:val="center"/>
          </w:tcPr>
          <w:p w14:paraId="3A2F9D36" w14:textId="77777777" w:rsidR="00676E67" w:rsidRDefault="00000000">
            <w:pPr>
              <w:spacing w:after="0" w:line="264" w:lineRule="auto"/>
            </w:pPr>
            <w:r>
              <w:rPr>
                <w:sz w:val="19"/>
              </w:rPr>
              <w:t>This affects payroll, compliance, contracts, and handover structure.</w:t>
            </w:r>
          </w:p>
        </w:tc>
      </w:tr>
      <w:tr w:rsidR="00676E67" w14:paraId="3D681C08" w14:textId="77777777">
        <w:trPr>
          <w:jc w:val="center"/>
        </w:trPr>
        <w:tc>
          <w:tcPr>
            <w:tcW w:w="648" w:type="dxa"/>
            <w:vAlign w:val="center"/>
          </w:tcPr>
          <w:p w14:paraId="0635B2E8" w14:textId="77777777" w:rsidR="00676E67" w:rsidRDefault="00000000">
            <w:pPr>
              <w:spacing w:after="0" w:line="264" w:lineRule="auto"/>
              <w:jc w:val="center"/>
            </w:pPr>
            <w:r>
              <w:rPr>
                <w:sz w:val="19"/>
              </w:rPr>
              <w:t>□</w:t>
            </w:r>
          </w:p>
        </w:tc>
        <w:tc>
          <w:tcPr>
            <w:tcW w:w="4392" w:type="dxa"/>
            <w:vAlign w:val="center"/>
          </w:tcPr>
          <w:p w14:paraId="551D116C" w14:textId="77777777" w:rsidR="00676E67" w:rsidRDefault="00000000">
            <w:pPr>
              <w:spacing w:after="0" w:line="264" w:lineRule="auto"/>
            </w:pPr>
            <w:r>
              <w:rPr>
                <w:sz w:val="19"/>
              </w:rPr>
              <w:t>The first 30-day business priorities are clear.</w:t>
            </w:r>
          </w:p>
        </w:tc>
        <w:tc>
          <w:tcPr>
            <w:tcW w:w="4464" w:type="dxa"/>
            <w:vAlign w:val="center"/>
          </w:tcPr>
          <w:p w14:paraId="57323D57" w14:textId="77777777" w:rsidR="00676E67" w:rsidRDefault="00000000">
            <w:pPr>
              <w:spacing w:after="0" w:line="264" w:lineRule="auto"/>
            </w:pPr>
            <w:r>
              <w:rPr>
                <w:sz w:val="19"/>
              </w:rPr>
              <w:t>Use specific outcomes rather than generic expectations.</w:t>
            </w:r>
          </w:p>
        </w:tc>
      </w:tr>
      <w:tr w:rsidR="00676E67" w14:paraId="79375284" w14:textId="77777777">
        <w:trPr>
          <w:jc w:val="center"/>
        </w:trPr>
        <w:tc>
          <w:tcPr>
            <w:tcW w:w="648" w:type="dxa"/>
            <w:vAlign w:val="center"/>
          </w:tcPr>
          <w:p w14:paraId="5E08282F" w14:textId="77777777" w:rsidR="00676E67" w:rsidRDefault="00000000">
            <w:pPr>
              <w:spacing w:after="0" w:line="264" w:lineRule="auto"/>
              <w:jc w:val="center"/>
            </w:pPr>
            <w:r>
              <w:rPr>
                <w:sz w:val="19"/>
              </w:rPr>
              <w:t>□</w:t>
            </w:r>
          </w:p>
        </w:tc>
        <w:tc>
          <w:tcPr>
            <w:tcW w:w="4392" w:type="dxa"/>
            <w:vAlign w:val="center"/>
          </w:tcPr>
          <w:p w14:paraId="79FA85A3" w14:textId="77777777" w:rsidR="00676E67" w:rsidRDefault="00000000">
            <w:pPr>
              <w:spacing w:after="0" w:line="264" w:lineRule="auto"/>
            </w:pPr>
            <w:r>
              <w:rPr>
                <w:sz w:val="19"/>
              </w:rPr>
              <w:t>Communication channels, meeting rhythm, and working hours are documented.</w:t>
            </w:r>
          </w:p>
        </w:tc>
        <w:tc>
          <w:tcPr>
            <w:tcW w:w="4464" w:type="dxa"/>
            <w:vAlign w:val="center"/>
          </w:tcPr>
          <w:p w14:paraId="1AE5B401" w14:textId="77777777" w:rsidR="00676E67" w:rsidRDefault="00000000">
            <w:pPr>
              <w:spacing w:after="0" w:line="264" w:lineRule="auto"/>
            </w:pPr>
            <w:r>
              <w:rPr>
                <w:sz w:val="19"/>
              </w:rPr>
              <w:t>Include time-zone overlap where relevant.</w:t>
            </w:r>
          </w:p>
        </w:tc>
      </w:tr>
    </w:tbl>
    <w:p w14:paraId="5A658F15" w14:textId="15E462F4" w:rsidR="00676E67" w:rsidRDefault="00942517">
      <w:r>
        <w:br/>
      </w:r>
    </w:p>
    <w:p w14:paraId="052EFFA9" w14:textId="77777777" w:rsidR="00676E67" w:rsidRDefault="00000000">
      <w:pPr>
        <w:pStyle w:val="Heading2"/>
      </w:pPr>
      <w:r>
        <w:t>Section 2 - Pre-start preparation plan</w:t>
      </w:r>
    </w:p>
    <w:tbl>
      <w:tblPr>
        <w:tblW w:w="0" w:type="auto"/>
        <w:jc w:val="center"/>
        <w:tblBorders>
          <w:top w:val="single" w:sz="8" w:space="0" w:color="D6E0EC"/>
          <w:left w:val="single" w:sz="8" w:space="0" w:color="D6E0EC"/>
          <w:bottom w:val="single" w:sz="8" w:space="0" w:color="D6E0EC"/>
          <w:right w:val="single" w:sz="8" w:space="0" w:color="D6E0EC"/>
          <w:insideH w:val="single" w:sz="8" w:space="0" w:color="D6E0EC"/>
          <w:insideV w:val="single" w:sz="8" w:space="0" w:color="D6E0EC"/>
        </w:tblBorders>
        <w:tblLook w:val="04A0" w:firstRow="1" w:lastRow="0" w:firstColumn="1" w:lastColumn="0" w:noHBand="0" w:noVBand="1"/>
      </w:tblPr>
      <w:tblGrid>
        <w:gridCol w:w="2787"/>
        <w:gridCol w:w="3786"/>
        <w:gridCol w:w="3867"/>
      </w:tblGrid>
      <w:tr w:rsidR="00676E67" w14:paraId="18CD7B7C" w14:textId="77777777">
        <w:trPr>
          <w:tblHeader/>
          <w:jc w:val="center"/>
        </w:trPr>
        <w:tc>
          <w:tcPr>
            <w:tcW w:w="3408" w:type="dxa"/>
            <w:shd w:val="clear" w:color="auto" w:fill="EAF2FB"/>
            <w:vAlign w:val="center"/>
          </w:tcPr>
          <w:p w14:paraId="7712A080" w14:textId="77777777" w:rsidR="00676E67" w:rsidRDefault="00676E67">
            <w:pPr>
              <w:jc w:val="center"/>
            </w:pPr>
          </w:p>
        </w:tc>
        <w:tc>
          <w:tcPr>
            <w:tcW w:w="3408" w:type="dxa"/>
            <w:shd w:val="clear" w:color="auto" w:fill="EAF2FB"/>
            <w:vAlign w:val="center"/>
          </w:tcPr>
          <w:p w14:paraId="20A451DA" w14:textId="77777777" w:rsidR="00676E67" w:rsidRDefault="00000000">
            <w:r>
              <w:rPr>
                <w:b/>
                <w:color w:val="0F3158"/>
                <w:sz w:val="18"/>
              </w:rPr>
              <w:t>Planning checkpoint</w:t>
            </w:r>
          </w:p>
        </w:tc>
        <w:tc>
          <w:tcPr>
            <w:tcW w:w="3408" w:type="dxa"/>
            <w:shd w:val="clear" w:color="auto" w:fill="EAF2FB"/>
            <w:vAlign w:val="center"/>
          </w:tcPr>
          <w:p w14:paraId="5AE4DBB4" w14:textId="77777777" w:rsidR="00676E67" w:rsidRDefault="00000000">
            <w:r>
              <w:rPr>
                <w:b/>
                <w:color w:val="0F3158"/>
                <w:sz w:val="18"/>
              </w:rPr>
              <w:t>Notes / action owner</w:t>
            </w:r>
          </w:p>
        </w:tc>
      </w:tr>
      <w:tr w:rsidR="00676E67" w14:paraId="2922C138" w14:textId="77777777">
        <w:trPr>
          <w:jc w:val="center"/>
        </w:trPr>
        <w:tc>
          <w:tcPr>
            <w:tcW w:w="648" w:type="dxa"/>
            <w:vAlign w:val="center"/>
          </w:tcPr>
          <w:p w14:paraId="1E06F786" w14:textId="77777777" w:rsidR="00676E67" w:rsidRDefault="00000000">
            <w:pPr>
              <w:spacing w:after="0" w:line="264" w:lineRule="auto"/>
              <w:jc w:val="center"/>
            </w:pPr>
            <w:r>
              <w:rPr>
                <w:sz w:val="19"/>
              </w:rPr>
              <w:t>□</w:t>
            </w:r>
          </w:p>
        </w:tc>
        <w:tc>
          <w:tcPr>
            <w:tcW w:w="4392" w:type="dxa"/>
            <w:vAlign w:val="center"/>
          </w:tcPr>
          <w:p w14:paraId="0C52A15B" w14:textId="77777777" w:rsidR="00676E67" w:rsidRDefault="00000000">
            <w:pPr>
              <w:spacing w:after="0" w:line="264" w:lineRule="auto"/>
            </w:pPr>
            <w:r>
              <w:rPr>
                <w:sz w:val="19"/>
              </w:rPr>
              <w:t>Employment or engagement documents are complete and approved.</w:t>
            </w:r>
          </w:p>
        </w:tc>
        <w:tc>
          <w:tcPr>
            <w:tcW w:w="4464" w:type="dxa"/>
            <w:vAlign w:val="center"/>
          </w:tcPr>
          <w:p w14:paraId="5904D315" w14:textId="77777777" w:rsidR="00676E67" w:rsidRDefault="00000000">
            <w:pPr>
              <w:spacing w:after="0" w:line="264" w:lineRule="auto"/>
            </w:pPr>
            <w:r>
              <w:rPr>
                <w:sz w:val="19"/>
              </w:rPr>
              <w:t>Include contracts, identity checks, and any market-specific documentation.</w:t>
            </w:r>
          </w:p>
        </w:tc>
      </w:tr>
      <w:tr w:rsidR="00676E67" w14:paraId="2FE4D566" w14:textId="77777777">
        <w:trPr>
          <w:jc w:val="center"/>
        </w:trPr>
        <w:tc>
          <w:tcPr>
            <w:tcW w:w="648" w:type="dxa"/>
            <w:vAlign w:val="center"/>
          </w:tcPr>
          <w:p w14:paraId="355B4D19" w14:textId="77777777" w:rsidR="00676E67" w:rsidRDefault="00000000">
            <w:pPr>
              <w:spacing w:after="0" w:line="264" w:lineRule="auto"/>
              <w:jc w:val="center"/>
            </w:pPr>
            <w:r>
              <w:rPr>
                <w:sz w:val="19"/>
              </w:rPr>
              <w:t>□</w:t>
            </w:r>
          </w:p>
        </w:tc>
        <w:tc>
          <w:tcPr>
            <w:tcW w:w="4392" w:type="dxa"/>
            <w:vAlign w:val="center"/>
          </w:tcPr>
          <w:p w14:paraId="0AA98410" w14:textId="77777777" w:rsidR="00676E67" w:rsidRDefault="00000000">
            <w:pPr>
              <w:spacing w:after="0" w:line="264" w:lineRule="auto"/>
            </w:pPr>
            <w:r>
              <w:rPr>
                <w:sz w:val="19"/>
              </w:rPr>
              <w:t xml:space="preserve">Payroll support and payment administration are configured where </w:t>
            </w:r>
            <w:r>
              <w:rPr>
                <w:sz w:val="19"/>
              </w:rPr>
              <w:lastRenderedPageBreak/>
              <w:t>applicable.</w:t>
            </w:r>
          </w:p>
        </w:tc>
        <w:tc>
          <w:tcPr>
            <w:tcW w:w="4464" w:type="dxa"/>
            <w:vAlign w:val="center"/>
          </w:tcPr>
          <w:p w14:paraId="243C1455" w14:textId="77777777" w:rsidR="00676E67" w:rsidRDefault="00000000">
            <w:pPr>
              <w:spacing w:after="0" w:line="264" w:lineRule="auto"/>
            </w:pPr>
            <w:r>
              <w:rPr>
                <w:sz w:val="19"/>
              </w:rPr>
              <w:lastRenderedPageBreak/>
              <w:t>Record timing, responsible owner, and any missing steps.</w:t>
            </w:r>
          </w:p>
        </w:tc>
      </w:tr>
      <w:tr w:rsidR="00676E67" w14:paraId="6A94EB75" w14:textId="77777777">
        <w:trPr>
          <w:jc w:val="center"/>
        </w:trPr>
        <w:tc>
          <w:tcPr>
            <w:tcW w:w="648" w:type="dxa"/>
            <w:vAlign w:val="center"/>
          </w:tcPr>
          <w:p w14:paraId="78DB7FB2" w14:textId="77777777" w:rsidR="00676E67" w:rsidRDefault="00000000">
            <w:pPr>
              <w:spacing w:after="0" w:line="264" w:lineRule="auto"/>
              <w:jc w:val="center"/>
            </w:pPr>
            <w:r>
              <w:rPr>
                <w:sz w:val="19"/>
              </w:rPr>
              <w:t>□</w:t>
            </w:r>
          </w:p>
        </w:tc>
        <w:tc>
          <w:tcPr>
            <w:tcW w:w="4392" w:type="dxa"/>
            <w:vAlign w:val="center"/>
          </w:tcPr>
          <w:p w14:paraId="17BEC11C" w14:textId="77777777" w:rsidR="00676E67" w:rsidRDefault="00000000">
            <w:pPr>
              <w:spacing w:after="0" w:line="264" w:lineRule="auto"/>
            </w:pPr>
            <w:r>
              <w:rPr>
                <w:sz w:val="19"/>
              </w:rPr>
              <w:t>Hardware, software, accounts, and access permissions are ready.</w:t>
            </w:r>
          </w:p>
        </w:tc>
        <w:tc>
          <w:tcPr>
            <w:tcW w:w="4464" w:type="dxa"/>
            <w:vAlign w:val="center"/>
          </w:tcPr>
          <w:p w14:paraId="0C0302F3" w14:textId="77777777" w:rsidR="00676E67" w:rsidRDefault="00000000">
            <w:pPr>
              <w:spacing w:after="0" w:line="264" w:lineRule="auto"/>
            </w:pPr>
            <w:r>
              <w:rPr>
                <w:sz w:val="19"/>
              </w:rPr>
              <w:t>Access should match role needs from day one.</w:t>
            </w:r>
          </w:p>
        </w:tc>
      </w:tr>
      <w:tr w:rsidR="00676E67" w14:paraId="46845C63" w14:textId="77777777">
        <w:trPr>
          <w:jc w:val="center"/>
        </w:trPr>
        <w:tc>
          <w:tcPr>
            <w:tcW w:w="648" w:type="dxa"/>
            <w:vAlign w:val="center"/>
          </w:tcPr>
          <w:p w14:paraId="6E19D6C5" w14:textId="77777777" w:rsidR="00676E67" w:rsidRDefault="00000000">
            <w:pPr>
              <w:spacing w:after="0" w:line="264" w:lineRule="auto"/>
              <w:jc w:val="center"/>
            </w:pPr>
            <w:r>
              <w:rPr>
                <w:sz w:val="19"/>
              </w:rPr>
              <w:t>□</w:t>
            </w:r>
          </w:p>
        </w:tc>
        <w:tc>
          <w:tcPr>
            <w:tcW w:w="4392" w:type="dxa"/>
            <w:vAlign w:val="center"/>
          </w:tcPr>
          <w:p w14:paraId="705139A7" w14:textId="77777777" w:rsidR="00676E67" w:rsidRDefault="00000000">
            <w:pPr>
              <w:spacing w:after="0" w:line="264" w:lineRule="auto"/>
            </w:pPr>
            <w:r>
              <w:rPr>
                <w:sz w:val="19"/>
              </w:rPr>
              <w:t>Key guides, SOPs, handover notes, and orientation material are assembled.</w:t>
            </w:r>
          </w:p>
        </w:tc>
        <w:tc>
          <w:tcPr>
            <w:tcW w:w="4464" w:type="dxa"/>
            <w:vAlign w:val="center"/>
          </w:tcPr>
          <w:p w14:paraId="771D9FB2" w14:textId="77777777" w:rsidR="00676E67" w:rsidRDefault="00000000">
            <w:pPr>
              <w:spacing w:after="0" w:line="264" w:lineRule="auto"/>
            </w:pPr>
            <w:r>
              <w:rPr>
                <w:sz w:val="19"/>
              </w:rPr>
              <w:t>Avoid making the new hire search for basic process information.</w:t>
            </w:r>
          </w:p>
        </w:tc>
      </w:tr>
      <w:tr w:rsidR="00676E67" w14:paraId="7E278933" w14:textId="77777777">
        <w:trPr>
          <w:jc w:val="center"/>
        </w:trPr>
        <w:tc>
          <w:tcPr>
            <w:tcW w:w="648" w:type="dxa"/>
            <w:vAlign w:val="center"/>
          </w:tcPr>
          <w:p w14:paraId="5ED90B05" w14:textId="77777777" w:rsidR="00676E67" w:rsidRDefault="00000000">
            <w:pPr>
              <w:spacing w:after="0" w:line="264" w:lineRule="auto"/>
              <w:jc w:val="center"/>
            </w:pPr>
            <w:r>
              <w:rPr>
                <w:sz w:val="19"/>
              </w:rPr>
              <w:t>□</w:t>
            </w:r>
          </w:p>
        </w:tc>
        <w:tc>
          <w:tcPr>
            <w:tcW w:w="4392" w:type="dxa"/>
            <w:vAlign w:val="center"/>
          </w:tcPr>
          <w:p w14:paraId="47889C7A" w14:textId="77777777" w:rsidR="00676E67" w:rsidRDefault="00000000">
            <w:pPr>
              <w:spacing w:after="0" w:line="264" w:lineRule="auto"/>
            </w:pPr>
            <w:r>
              <w:rPr>
                <w:sz w:val="19"/>
              </w:rPr>
              <w:t>A first-week diary is created with meetings, training blocks, and task handover points.</w:t>
            </w:r>
          </w:p>
        </w:tc>
        <w:tc>
          <w:tcPr>
            <w:tcW w:w="4464" w:type="dxa"/>
            <w:vAlign w:val="center"/>
          </w:tcPr>
          <w:p w14:paraId="5EE7D01B" w14:textId="77777777" w:rsidR="00676E67" w:rsidRDefault="00000000">
            <w:pPr>
              <w:spacing w:after="0" w:line="264" w:lineRule="auto"/>
            </w:pPr>
            <w:r>
              <w:rPr>
                <w:sz w:val="19"/>
              </w:rPr>
              <w:t>This creates momentum and reduces uncertainty.</w:t>
            </w:r>
          </w:p>
        </w:tc>
      </w:tr>
    </w:tbl>
    <w:p w14:paraId="4DC77139" w14:textId="75B4ECA6" w:rsidR="00676E67" w:rsidRDefault="00942517">
      <w:r>
        <w:br/>
      </w:r>
    </w:p>
    <w:p w14:paraId="774F6FBF" w14:textId="77777777" w:rsidR="00676E67" w:rsidRDefault="00000000">
      <w:pPr>
        <w:pStyle w:val="Heading2"/>
      </w:pPr>
      <w:r>
        <w:t>Recommended onboarding ownership</w:t>
      </w:r>
    </w:p>
    <w:tbl>
      <w:tblPr>
        <w:tblW w:w="0" w:type="auto"/>
        <w:jc w:val="center"/>
        <w:tblBorders>
          <w:top w:val="single" w:sz="8" w:space="0" w:color="D6E0EC"/>
          <w:left w:val="single" w:sz="8" w:space="0" w:color="D6E0EC"/>
          <w:bottom w:val="single" w:sz="8" w:space="0" w:color="D6E0EC"/>
          <w:right w:val="single" w:sz="8" w:space="0" w:color="D6E0EC"/>
          <w:insideH w:val="single" w:sz="8" w:space="0" w:color="D6E0EC"/>
          <w:insideV w:val="single" w:sz="8" w:space="0" w:color="D6E0EC"/>
        </w:tblBorders>
        <w:tblLook w:val="04A0" w:firstRow="1" w:lastRow="0" w:firstColumn="1" w:lastColumn="0" w:noHBand="0" w:noVBand="1"/>
      </w:tblPr>
      <w:tblGrid>
        <w:gridCol w:w="4659"/>
        <w:gridCol w:w="5781"/>
      </w:tblGrid>
      <w:tr w:rsidR="00676E67" w14:paraId="12B20E36" w14:textId="77777777">
        <w:trPr>
          <w:tblHeader/>
          <w:jc w:val="center"/>
        </w:trPr>
        <w:tc>
          <w:tcPr>
            <w:tcW w:w="5112" w:type="dxa"/>
            <w:shd w:val="clear" w:color="auto" w:fill="EAF2FB"/>
          </w:tcPr>
          <w:p w14:paraId="3D7EDCA3" w14:textId="77777777" w:rsidR="00676E67" w:rsidRDefault="00000000">
            <w:r>
              <w:rPr>
                <w:b/>
                <w:color w:val="0F3158"/>
                <w:sz w:val="18"/>
              </w:rPr>
              <w:t>Owner</w:t>
            </w:r>
          </w:p>
        </w:tc>
        <w:tc>
          <w:tcPr>
            <w:tcW w:w="5112" w:type="dxa"/>
            <w:shd w:val="clear" w:color="auto" w:fill="EAF2FB"/>
          </w:tcPr>
          <w:p w14:paraId="46E32292" w14:textId="77777777" w:rsidR="00676E67" w:rsidRDefault="00000000">
            <w:r>
              <w:rPr>
                <w:b/>
                <w:color w:val="0F3158"/>
                <w:sz w:val="18"/>
              </w:rPr>
              <w:t>Typical responsibility</w:t>
            </w:r>
          </w:p>
        </w:tc>
      </w:tr>
      <w:tr w:rsidR="00676E67" w14:paraId="6FE289F2" w14:textId="77777777">
        <w:trPr>
          <w:jc w:val="center"/>
        </w:trPr>
        <w:tc>
          <w:tcPr>
            <w:tcW w:w="3168" w:type="dxa"/>
            <w:vAlign w:val="center"/>
          </w:tcPr>
          <w:p w14:paraId="53D7F8EB" w14:textId="77777777" w:rsidR="00676E67" w:rsidRDefault="00000000">
            <w:pPr>
              <w:spacing w:after="0" w:line="264" w:lineRule="auto"/>
            </w:pPr>
            <w:r>
              <w:rPr>
                <w:sz w:val="19"/>
              </w:rPr>
              <w:t>Hiring manager</w:t>
            </w:r>
          </w:p>
        </w:tc>
        <w:tc>
          <w:tcPr>
            <w:tcW w:w="6336" w:type="dxa"/>
            <w:vAlign w:val="center"/>
          </w:tcPr>
          <w:p w14:paraId="1F753E44" w14:textId="77777777" w:rsidR="00676E67" w:rsidRDefault="00000000">
            <w:pPr>
              <w:spacing w:after="0" w:line="264" w:lineRule="auto"/>
            </w:pPr>
            <w:r>
              <w:rPr>
                <w:sz w:val="19"/>
              </w:rPr>
              <w:t>Sets role priorities, first-stage expectations, and performance context.</w:t>
            </w:r>
          </w:p>
        </w:tc>
      </w:tr>
      <w:tr w:rsidR="00676E67" w14:paraId="0AE1D437" w14:textId="77777777">
        <w:trPr>
          <w:jc w:val="center"/>
        </w:trPr>
        <w:tc>
          <w:tcPr>
            <w:tcW w:w="3168" w:type="dxa"/>
            <w:vAlign w:val="center"/>
          </w:tcPr>
          <w:p w14:paraId="60D3018C" w14:textId="77777777" w:rsidR="00676E67" w:rsidRDefault="00000000">
            <w:pPr>
              <w:spacing w:after="0" w:line="264" w:lineRule="auto"/>
            </w:pPr>
            <w:r>
              <w:rPr>
                <w:sz w:val="19"/>
              </w:rPr>
              <w:t>Operational owner</w:t>
            </w:r>
          </w:p>
        </w:tc>
        <w:tc>
          <w:tcPr>
            <w:tcW w:w="6336" w:type="dxa"/>
            <w:vAlign w:val="center"/>
          </w:tcPr>
          <w:p w14:paraId="19EF42C9" w14:textId="77777777" w:rsidR="00676E67" w:rsidRDefault="00000000">
            <w:pPr>
              <w:spacing w:after="0" w:line="264" w:lineRule="auto"/>
            </w:pPr>
            <w:r>
              <w:rPr>
                <w:sz w:val="19"/>
              </w:rPr>
              <w:t>Supports workflow handover, access needs, and coordination across teams.</w:t>
            </w:r>
          </w:p>
        </w:tc>
      </w:tr>
      <w:tr w:rsidR="00676E67" w14:paraId="48BAB6F7" w14:textId="77777777">
        <w:trPr>
          <w:jc w:val="center"/>
        </w:trPr>
        <w:tc>
          <w:tcPr>
            <w:tcW w:w="3168" w:type="dxa"/>
            <w:vAlign w:val="center"/>
          </w:tcPr>
          <w:p w14:paraId="1497087E" w14:textId="77777777" w:rsidR="00676E67" w:rsidRDefault="00000000">
            <w:pPr>
              <w:spacing w:after="0" w:line="264" w:lineRule="auto"/>
            </w:pPr>
            <w:r>
              <w:rPr>
                <w:sz w:val="19"/>
              </w:rPr>
              <w:t>HR / people lead</w:t>
            </w:r>
          </w:p>
        </w:tc>
        <w:tc>
          <w:tcPr>
            <w:tcW w:w="6336" w:type="dxa"/>
            <w:vAlign w:val="center"/>
          </w:tcPr>
          <w:p w14:paraId="012D7A55" w14:textId="77777777" w:rsidR="00676E67" w:rsidRDefault="00000000">
            <w:pPr>
              <w:spacing w:after="0" w:line="264" w:lineRule="auto"/>
            </w:pPr>
            <w:r>
              <w:rPr>
                <w:sz w:val="19"/>
              </w:rPr>
              <w:t>Helps manage documentation, policy alignment, and employee experience.</w:t>
            </w:r>
          </w:p>
        </w:tc>
      </w:tr>
      <w:tr w:rsidR="00676E67" w14:paraId="2B134CC6" w14:textId="77777777">
        <w:trPr>
          <w:jc w:val="center"/>
        </w:trPr>
        <w:tc>
          <w:tcPr>
            <w:tcW w:w="3168" w:type="dxa"/>
            <w:vAlign w:val="center"/>
          </w:tcPr>
          <w:p w14:paraId="3E0A0264" w14:textId="77777777" w:rsidR="00676E67" w:rsidRDefault="00000000">
            <w:pPr>
              <w:spacing w:after="0" w:line="264" w:lineRule="auto"/>
            </w:pPr>
            <w:r>
              <w:rPr>
                <w:sz w:val="19"/>
              </w:rPr>
              <w:t>Payroll / compliance support</w:t>
            </w:r>
          </w:p>
        </w:tc>
        <w:tc>
          <w:tcPr>
            <w:tcW w:w="6336" w:type="dxa"/>
            <w:vAlign w:val="center"/>
          </w:tcPr>
          <w:p w14:paraId="210A8169" w14:textId="77777777" w:rsidR="00676E67" w:rsidRDefault="00000000">
            <w:pPr>
              <w:spacing w:after="0" w:line="264" w:lineRule="auto"/>
            </w:pPr>
            <w:r>
              <w:rPr>
                <w:sz w:val="19"/>
              </w:rPr>
              <w:t>Coordinates payroll timing, statutory steps, and administration where applicable.</w:t>
            </w:r>
          </w:p>
        </w:tc>
      </w:tr>
      <w:tr w:rsidR="00676E67" w14:paraId="630F931C" w14:textId="77777777">
        <w:trPr>
          <w:jc w:val="center"/>
        </w:trPr>
        <w:tc>
          <w:tcPr>
            <w:tcW w:w="3168" w:type="dxa"/>
            <w:vAlign w:val="center"/>
          </w:tcPr>
          <w:p w14:paraId="1E75012D" w14:textId="77777777" w:rsidR="00676E67" w:rsidRDefault="00000000">
            <w:pPr>
              <w:spacing w:after="0" w:line="264" w:lineRule="auto"/>
            </w:pPr>
            <w:r>
              <w:rPr>
                <w:sz w:val="19"/>
              </w:rPr>
              <w:t>Buddy or peer contact</w:t>
            </w:r>
          </w:p>
        </w:tc>
        <w:tc>
          <w:tcPr>
            <w:tcW w:w="6336" w:type="dxa"/>
            <w:vAlign w:val="center"/>
          </w:tcPr>
          <w:p w14:paraId="09BAEC80" w14:textId="77777777" w:rsidR="00676E67" w:rsidRDefault="00000000">
            <w:pPr>
              <w:spacing w:after="0" w:line="264" w:lineRule="auto"/>
            </w:pPr>
            <w:r>
              <w:rPr>
                <w:sz w:val="19"/>
              </w:rPr>
              <w:t>Provides practical support during the first week and helps with team integration.</w:t>
            </w:r>
          </w:p>
        </w:tc>
      </w:tr>
    </w:tbl>
    <w:p w14:paraId="678B843E" w14:textId="77777777" w:rsidR="00676E67" w:rsidRDefault="00676E67"/>
    <w:p w14:paraId="6E5D2E04" w14:textId="38E79D7B" w:rsidR="00676E67" w:rsidRDefault="00676E67"/>
    <w:p w14:paraId="07BB3416" w14:textId="77777777" w:rsidR="00676E67" w:rsidRDefault="00000000">
      <w:pPr>
        <w:pStyle w:val="Heading2"/>
      </w:pPr>
      <w:r>
        <w:t>Section 3 - First-week onboarding schedule</w:t>
      </w:r>
    </w:p>
    <w:tbl>
      <w:tblPr>
        <w:tblW w:w="0" w:type="auto"/>
        <w:jc w:val="center"/>
        <w:tblBorders>
          <w:top w:val="single" w:sz="8" w:space="0" w:color="D6E0EC"/>
          <w:left w:val="single" w:sz="8" w:space="0" w:color="D6E0EC"/>
          <w:bottom w:val="single" w:sz="8" w:space="0" w:color="D6E0EC"/>
          <w:right w:val="single" w:sz="8" w:space="0" w:color="D6E0EC"/>
          <w:insideH w:val="single" w:sz="8" w:space="0" w:color="D6E0EC"/>
          <w:insideV w:val="single" w:sz="8" w:space="0" w:color="D6E0EC"/>
        </w:tblBorders>
        <w:tblLook w:val="04A0" w:firstRow="1" w:lastRow="0" w:firstColumn="1" w:lastColumn="0" w:noHBand="0" w:noVBand="1"/>
      </w:tblPr>
      <w:tblGrid>
        <w:gridCol w:w="2830"/>
        <w:gridCol w:w="3810"/>
        <w:gridCol w:w="3800"/>
      </w:tblGrid>
      <w:tr w:rsidR="00676E67" w14:paraId="5263A744" w14:textId="77777777">
        <w:trPr>
          <w:tblHeader/>
          <w:jc w:val="center"/>
        </w:trPr>
        <w:tc>
          <w:tcPr>
            <w:tcW w:w="3408" w:type="dxa"/>
            <w:shd w:val="clear" w:color="auto" w:fill="EAF2FB"/>
            <w:vAlign w:val="center"/>
          </w:tcPr>
          <w:p w14:paraId="33C9E15F" w14:textId="77777777" w:rsidR="00676E67" w:rsidRDefault="00676E67">
            <w:pPr>
              <w:jc w:val="center"/>
            </w:pPr>
          </w:p>
        </w:tc>
        <w:tc>
          <w:tcPr>
            <w:tcW w:w="3408" w:type="dxa"/>
            <w:shd w:val="clear" w:color="auto" w:fill="EAF2FB"/>
            <w:vAlign w:val="center"/>
          </w:tcPr>
          <w:p w14:paraId="62D7C7E3" w14:textId="77777777" w:rsidR="00676E67" w:rsidRDefault="00000000">
            <w:r>
              <w:rPr>
                <w:b/>
                <w:color w:val="0F3158"/>
                <w:sz w:val="18"/>
              </w:rPr>
              <w:t>Planning checkpoint</w:t>
            </w:r>
          </w:p>
        </w:tc>
        <w:tc>
          <w:tcPr>
            <w:tcW w:w="3408" w:type="dxa"/>
            <w:shd w:val="clear" w:color="auto" w:fill="EAF2FB"/>
            <w:vAlign w:val="center"/>
          </w:tcPr>
          <w:p w14:paraId="0B1C2928" w14:textId="77777777" w:rsidR="00676E67" w:rsidRDefault="00000000">
            <w:r>
              <w:rPr>
                <w:b/>
                <w:color w:val="0F3158"/>
                <w:sz w:val="18"/>
              </w:rPr>
              <w:t>Notes / action owner</w:t>
            </w:r>
          </w:p>
        </w:tc>
      </w:tr>
      <w:tr w:rsidR="00676E67" w14:paraId="24FAF468" w14:textId="77777777">
        <w:trPr>
          <w:jc w:val="center"/>
        </w:trPr>
        <w:tc>
          <w:tcPr>
            <w:tcW w:w="648" w:type="dxa"/>
            <w:vAlign w:val="center"/>
          </w:tcPr>
          <w:p w14:paraId="5414BD55" w14:textId="77777777" w:rsidR="00676E67" w:rsidRDefault="00000000">
            <w:pPr>
              <w:spacing w:after="0" w:line="264" w:lineRule="auto"/>
              <w:jc w:val="center"/>
            </w:pPr>
            <w:r>
              <w:rPr>
                <w:sz w:val="19"/>
              </w:rPr>
              <w:t>□</w:t>
            </w:r>
          </w:p>
        </w:tc>
        <w:tc>
          <w:tcPr>
            <w:tcW w:w="4392" w:type="dxa"/>
            <w:vAlign w:val="center"/>
          </w:tcPr>
          <w:p w14:paraId="3AB059B8" w14:textId="77777777" w:rsidR="00676E67" w:rsidRDefault="00000000">
            <w:pPr>
              <w:spacing w:after="0" w:line="264" w:lineRule="auto"/>
            </w:pPr>
            <w:r>
              <w:rPr>
                <w:sz w:val="19"/>
              </w:rPr>
              <w:t>Welcome session and company overview</w:t>
            </w:r>
          </w:p>
        </w:tc>
        <w:tc>
          <w:tcPr>
            <w:tcW w:w="4464" w:type="dxa"/>
            <w:vAlign w:val="center"/>
          </w:tcPr>
          <w:p w14:paraId="1A6EBAA4" w14:textId="77777777" w:rsidR="00676E67" w:rsidRDefault="00000000">
            <w:pPr>
              <w:spacing w:after="0" w:line="264" w:lineRule="auto"/>
            </w:pPr>
            <w:r>
              <w:rPr>
                <w:sz w:val="19"/>
              </w:rPr>
              <w:t>Date / owner / intended outcome</w:t>
            </w:r>
          </w:p>
        </w:tc>
      </w:tr>
      <w:tr w:rsidR="00676E67" w14:paraId="2A8736D1" w14:textId="77777777">
        <w:trPr>
          <w:jc w:val="center"/>
        </w:trPr>
        <w:tc>
          <w:tcPr>
            <w:tcW w:w="648" w:type="dxa"/>
            <w:vAlign w:val="center"/>
          </w:tcPr>
          <w:p w14:paraId="4A7EF08E" w14:textId="77777777" w:rsidR="00676E67" w:rsidRDefault="00000000">
            <w:pPr>
              <w:spacing w:after="0" w:line="264" w:lineRule="auto"/>
              <w:jc w:val="center"/>
            </w:pPr>
            <w:r>
              <w:rPr>
                <w:sz w:val="19"/>
              </w:rPr>
              <w:t>□</w:t>
            </w:r>
          </w:p>
        </w:tc>
        <w:tc>
          <w:tcPr>
            <w:tcW w:w="4392" w:type="dxa"/>
            <w:vAlign w:val="center"/>
          </w:tcPr>
          <w:p w14:paraId="02DF48F6" w14:textId="77777777" w:rsidR="00676E67" w:rsidRDefault="00000000">
            <w:pPr>
              <w:spacing w:after="0" w:line="264" w:lineRule="auto"/>
            </w:pPr>
            <w:r>
              <w:rPr>
                <w:sz w:val="19"/>
              </w:rPr>
              <w:t>Manager alignment session</w:t>
            </w:r>
          </w:p>
        </w:tc>
        <w:tc>
          <w:tcPr>
            <w:tcW w:w="4464" w:type="dxa"/>
            <w:vAlign w:val="center"/>
          </w:tcPr>
          <w:p w14:paraId="4AFEC2E2" w14:textId="77777777" w:rsidR="00676E67" w:rsidRDefault="00000000">
            <w:pPr>
              <w:spacing w:after="0" w:line="264" w:lineRule="auto"/>
            </w:pPr>
            <w:r>
              <w:rPr>
                <w:sz w:val="19"/>
              </w:rPr>
              <w:t>Date / owner / intended outcome</w:t>
            </w:r>
          </w:p>
        </w:tc>
      </w:tr>
      <w:tr w:rsidR="00676E67" w14:paraId="2FC6E8B0" w14:textId="77777777">
        <w:trPr>
          <w:jc w:val="center"/>
        </w:trPr>
        <w:tc>
          <w:tcPr>
            <w:tcW w:w="648" w:type="dxa"/>
            <w:vAlign w:val="center"/>
          </w:tcPr>
          <w:p w14:paraId="204EAAD2" w14:textId="77777777" w:rsidR="00676E67" w:rsidRDefault="00000000">
            <w:pPr>
              <w:spacing w:after="0" w:line="264" w:lineRule="auto"/>
              <w:jc w:val="center"/>
            </w:pPr>
            <w:r>
              <w:rPr>
                <w:sz w:val="19"/>
              </w:rPr>
              <w:t>□</w:t>
            </w:r>
          </w:p>
        </w:tc>
        <w:tc>
          <w:tcPr>
            <w:tcW w:w="4392" w:type="dxa"/>
            <w:vAlign w:val="center"/>
          </w:tcPr>
          <w:p w14:paraId="04FC0B4A" w14:textId="77777777" w:rsidR="00676E67" w:rsidRDefault="00000000">
            <w:pPr>
              <w:spacing w:after="0" w:line="264" w:lineRule="auto"/>
            </w:pPr>
            <w:r>
              <w:rPr>
                <w:sz w:val="19"/>
              </w:rPr>
              <w:t>Role-specific systems walkthrough</w:t>
            </w:r>
          </w:p>
        </w:tc>
        <w:tc>
          <w:tcPr>
            <w:tcW w:w="4464" w:type="dxa"/>
            <w:vAlign w:val="center"/>
          </w:tcPr>
          <w:p w14:paraId="5449D6EB" w14:textId="77777777" w:rsidR="00676E67" w:rsidRDefault="00000000">
            <w:pPr>
              <w:spacing w:after="0" w:line="264" w:lineRule="auto"/>
            </w:pPr>
            <w:r>
              <w:rPr>
                <w:sz w:val="19"/>
              </w:rPr>
              <w:t>Date / owner / intended outcome</w:t>
            </w:r>
          </w:p>
        </w:tc>
      </w:tr>
      <w:tr w:rsidR="00676E67" w14:paraId="7E631D1C" w14:textId="77777777">
        <w:trPr>
          <w:jc w:val="center"/>
        </w:trPr>
        <w:tc>
          <w:tcPr>
            <w:tcW w:w="648" w:type="dxa"/>
            <w:vAlign w:val="center"/>
          </w:tcPr>
          <w:p w14:paraId="7CD97051" w14:textId="77777777" w:rsidR="00676E67" w:rsidRDefault="00000000">
            <w:pPr>
              <w:spacing w:after="0" w:line="264" w:lineRule="auto"/>
              <w:jc w:val="center"/>
            </w:pPr>
            <w:r>
              <w:rPr>
                <w:sz w:val="19"/>
              </w:rPr>
              <w:t>□</w:t>
            </w:r>
          </w:p>
        </w:tc>
        <w:tc>
          <w:tcPr>
            <w:tcW w:w="4392" w:type="dxa"/>
            <w:vAlign w:val="center"/>
          </w:tcPr>
          <w:p w14:paraId="3CB6BF19" w14:textId="77777777" w:rsidR="00676E67" w:rsidRDefault="00000000">
            <w:pPr>
              <w:spacing w:after="0" w:line="264" w:lineRule="auto"/>
            </w:pPr>
            <w:r>
              <w:rPr>
                <w:sz w:val="19"/>
              </w:rPr>
              <w:t>Team introductions and collaboration overview</w:t>
            </w:r>
          </w:p>
        </w:tc>
        <w:tc>
          <w:tcPr>
            <w:tcW w:w="4464" w:type="dxa"/>
            <w:vAlign w:val="center"/>
          </w:tcPr>
          <w:p w14:paraId="49CDFCAC" w14:textId="77777777" w:rsidR="00676E67" w:rsidRDefault="00000000">
            <w:pPr>
              <w:spacing w:after="0" w:line="264" w:lineRule="auto"/>
            </w:pPr>
            <w:r>
              <w:rPr>
                <w:sz w:val="19"/>
              </w:rPr>
              <w:t>Date / owner / intended outcome</w:t>
            </w:r>
          </w:p>
        </w:tc>
      </w:tr>
      <w:tr w:rsidR="00676E67" w14:paraId="5EBC8571" w14:textId="77777777">
        <w:trPr>
          <w:jc w:val="center"/>
        </w:trPr>
        <w:tc>
          <w:tcPr>
            <w:tcW w:w="648" w:type="dxa"/>
            <w:vAlign w:val="center"/>
          </w:tcPr>
          <w:p w14:paraId="3B60B814" w14:textId="77777777" w:rsidR="00676E67" w:rsidRDefault="00000000">
            <w:pPr>
              <w:spacing w:after="0" w:line="264" w:lineRule="auto"/>
              <w:jc w:val="center"/>
            </w:pPr>
            <w:r>
              <w:rPr>
                <w:sz w:val="19"/>
              </w:rPr>
              <w:t>□</w:t>
            </w:r>
          </w:p>
        </w:tc>
        <w:tc>
          <w:tcPr>
            <w:tcW w:w="4392" w:type="dxa"/>
            <w:vAlign w:val="center"/>
          </w:tcPr>
          <w:p w14:paraId="0882A951" w14:textId="77777777" w:rsidR="00676E67" w:rsidRDefault="00000000">
            <w:pPr>
              <w:spacing w:after="0" w:line="264" w:lineRule="auto"/>
            </w:pPr>
            <w:r>
              <w:rPr>
                <w:sz w:val="19"/>
              </w:rPr>
              <w:t>Training on workflows, SOPs, and quality expectations</w:t>
            </w:r>
          </w:p>
        </w:tc>
        <w:tc>
          <w:tcPr>
            <w:tcW w:w="4464" w:type="dxa"/>
            <w:vAlign w:val="center"/>
          </w:tcPr>
          <w:p w14:paraId="17A637EF" w14:textId="77777777" w:rsidR="00676E67" w:rsidRDefault="00000000">
            <w:pPr>
              <w:spacing w:after="0" w:line="264" w:lineRule="auto"/>
            </w:pPr>
            <w:r>
              <w:rPr>
                <w:sz w:val="19"/>
              </w:rPr>
              <w:t>Date / owner / intended outcome</w:t>
            </w:r>
          </w:p>
        </w:tc>
      </w:tr>
      <w:tr w:rsidR="00676E67" w14:paraId="37153F52" w14:textId="77777777">
        <w:trPr>
          <w:jc w:val="center"/>
        </w:trPr>
        <w:tc>
          <w:tcPr>
            <w:tcW w:w="648" w:type="dxa"/>
            <w:vAlign w:val="center"/>
          </w:tcPr>
          <w:p w14:paraId="0158340B" w14:textId="77777777" w:rsidR="00676E67" w:rsidRDefault="00000000">
            <w:pPr>
              <w:spacing w:after="0" w:line="264" w:lineRule="auto"/>
              <w:jc w:val="center"/>
            </w:pPr>
            <w:r>
              <w:rPr>
                <w:sz w:val="19"/>
              </w:rPr>
              <w:t>□</w:t>
            </w:r>
          </w:p>
        </w:tc>
        <w:tc>
          <w:tcPr>
            <w:tcW w:w="4392" w:type="dxa"/>
            <w:vAlign w:val="center"/>
          </w:tcPr>
          <w:p w14:paraId="2FD1445E" w14:textId="77777777" w:rsidR="00676E67" w:rsidRDefault="00000000">
            <w:pPr>
              <w:spacing w:after="0" w:line="264" w:lineRule="auto"/>
            </w:pPr>
            <w:r>
              <w:rPr>
                <w:sz w:val="19"/>
              </w:rPr>
              <w:t>Initial task assignment and progress review</w:t>
            </w:r>
          </w:p>
        </w:tc>
        <w:tc>
          <w:tcPr>
            <w:tcW w:w="4464" w:type="dxa"/>
            <w:vAlign w:val="center"/>
          </w:tcPr>
          <w:p w14:paraId="0A3890BC" w14:textId="77777777" w:rsidR="00676E67" w:rsidRDefault="00000000">
            <w:pPr>
              <w:spacing w:after="0" w:line="264" w:lineRule="auto"/>
            </w:pPr>
            <w:r>
              <w:rPr>
                <w:sz w:val="19"/>
              </w:rPr>
              <w:t>Date / owner / intended outcome</w:t>
            </w:r>
          </w:p>
        </w:tc>
      </w:tr>
    </w:tbl>
    <w:p w14:paraId="452B05C4" w14:textId="6ACBC985" w:rsidR="00676E67" w:rsidRDefault="00942517">
      <w:r>
        <w:br/>
      </w:r>
      <w:r>
        <w:br/>
      </w:r>
    </w:p>
    <w:p w14:paraId="1E89119D" w14:textId="77777777" w:rsidR="00676E67" w:rsidRDefault="00000000">
      <w:pPr>
        <w:pStyle w:val="Heading2"/>
      </w:pPr>
      <w:r>
        <w:lastRenderedPageBreak/>
        <w:t>Section 4 - Training, compliance, and workflow readiness</w:t>
      </w:r>
    </w:p>
    <w:tbl>
      <w:tblPr>
        <w:tblW w:w="0" w:type="auto"/>
        <w:jc w:val="center"/>
        <w:tblBorders>
          <w:top w:val="single" w:sz="8" w:space="0" w:color="D6E0EC"/>
          <w:left w:val="single" w:sz="8" w:space="0" w:color="D6E0EC"/>
          <w:bottom w:val="single" w:sz="8" w:space="0" w:color="D6E0EC"/>
          <w:right w:val="single" w:sz="8" w:space="0" w:color="D6E0EC"/>
          <w:insideH w:val="single" w:sz="8" w:space="0" w:color="D6E0EC"/>
          <w:insideV w:val="single" w:sz="8" w:space="0" w:color="D6E0EC"/>
        </w:tblBorders>
        <w:tblLook w:val="04A0" w:firstRow="1" w:lastRow="0" w:firstColumn="1" w:lastColumn="0" w:noHBand="0" w:noVBand="1"/>
      </w:tblPr>
      <w:tblGrid>
        <w:gridCol w:w="2804"/>
        <w:gridCol w:w="3808"/>
        <w:gridCol w:w="3828"/>
      </w:tblGrid>
      <w:tr w:rsidR="00676E67" w14:paraId="1D94E6F3" w14:textId="77777777">
        <w:trPr>
          <w:tblHeader/>
          <w:jc w:val="center"/>
        </w:trPr>
        <w:tc>
          <w:tcPr>
            <w:tcW w:w="3408" w:type="dxa"/>
            <w:shd w:val="clear" w:color="auto" w:fill="EAF2FB"/>
            <w:vAlign w:val="center"/>
          </w:tcPr>
          <w:p w14:paraId="0B756C9C" w14:textId="77777777" w:rsidR="00676E67" w:rsidRDefault="00676E67">
            <w:pPr>
              <w:jc w:val="center"/>
            </w:pPr>
          </w:p>
        </w:tc>
        <w:tc>
          <w:tcPr>
            <w:tcW w:w="3408" w:type="dxa"/>
            <w:shd w:val="clear" w:color="auto" w:fill="EAF2FB"/>
            <w:vAlign w:val="center"/>
          </w:tcPr>
          <w:p w14:paraId="32D45578" w14:textId="77777777" w:rsidR="00676E67" w:rsidRDefault="00000000">
            <w:r>
              <w:rPr>
                <w:b/>
                <w:color w:val="0F3158"/>
                <w:sz w:val="18"/>
              </w:rPr>
              <w:t>Planning checkpoint</w:t>
            </w:r>
          </w:p>
        </w:tc>
        <w:tc>
          <w:tcPr>
            <w:tcW w:w="3408" w:type="dxa"/>
            <w:shd w:val="clear" w:color="auto" w:fill="EAF2FB"/>
            <w:vAlign w:val="center"/>
          </w:tcPr>
          <w:p w14:paraId="16DFAA4C" w14:textId="77777777" w:rsidR="00676E67" w:rsidRDefault="00000000">
            <w:r>
              <w:rPr>
                <w:b/>
                <w:color w:val="0F3158"/>
                <w:sz w:val="18"/>
              </w:rPr>
              <w:t>Notes / action owner</w:t>
            </w:r>
          </w:p>
        </w:tc>
      </w:tr>
      <w:tr w:rsidR="00676E67" w14:paraId="3232C6AA" w14:textId="77777777">
        <w:trPr>
          <w:jc w:val="center"/>
        </w:trPr>
        <w:tc>
          <w:tcPr>
            <w:tcW w:w="648" w:type="dxa"/>
            <w:vAlign w:val="center"/>
          </w:tcPr>
          <w:p w14:paraId="746CBABC" w14:textId="77777777" w:rsidR="00676E67" w:rsidRDefault="00000000">
            <w:pPr>
              <w:spacing w:after="0" w:line="264" w:lineRule="auto"/>
              <w:jc w:val="center"/>
            </w:pPr>
            <w:r>
              <w:rPr>
                <w:sz w:val="19"/>
              </w:rPr>
              <w:t>□</w:t>
            </w:r>
          </w:p>
        </w:tc>
        <w:tc>
          <w:tcPr>
            <w:tcW w:w="4392" w:type="dxa"/>
            <w:vAlign w:val="center"/>
          </w:tcPr>
          <w:p w14:paraId="0A44C2EC" w14:textId="77777777" w:rsidR="00676E67" w:rsidRDefault="00000000">
            <w:pPr>
              <w:spacing w:after="0" w:line="264" w:lineRule="auto"/>
            </w:pPr>
            <w:r>
              <w:rPr>
                <w:sz w:val="19"/>
              </w:rPr>
              <w:t>Data handling, confidentiality, and access standards are explained.</w:t>
            </w:r>
          </w:p>
        </w:tc>
        <w:tc>
          <w:tcPr>
            <w:tcW w:w="4464" w:type="dxa"/>
            <w:vAlign w:val="center"/>
          </w:tcPr>
          <w:p w14:paraId="0AF69EB2" w14:textId="77777777" w:rsidR="00676E67" w:rsidRDefault="00000000">
            <w:pPr>
              <w:spacing w:after="0" w:line="264" w:lineRule="auto"/>
            </w:pPr>
            <w:r>
              <w:rPr>
                <w:sz w:val="19"/>
              </w:rPr>
              <w:t>Particularly important for customer, financial, or operational data.</w:t>
            </w:r>
          </w:p>
        </w:tc>
      </w:tr>
      <w:tr w:rsidR="00676E67" w14:paraId="6E6671AB" w14:textId="77777777">
        <w:trPr>
          <w:jc w:val="center"/>
        </w:trPr>
        <w:tc>
          <w:tcPr>
            <w:tcW w:w="648" w:type="dxa"/>
            <w:vAlign w:val="center"/>
          </w:tcPr>
          <w:p w14:paraId="60FC43D8" w14:textId="77777777" w:rsidR="00676E67" w:rsidRDefault="00000000">
            <w:pPr>
              <w:spacing w:after="0" w:line="264" w:lineRule="auto"/>
              <w:jc w:val="center"/>
            </w:pPr>
            <w:r>
              <w:rPr>
                <w:sz w:val="19"/>
              </w:rPr>
              <w:t>□</w:t>
            </w:r>
          </w:p>
        </w:tc>
        <w:tc>
          <w:tcPr>
            <w:tcW w:w="4392" w:type="dxa"/>
            <w:vAlign w:val="center"/>
          </w:tcPr>
          <w:p w14:paraId="48C39860" w14:textId="77777777" w:rsidR="00676E67" w:rsidRDefault="00000000">
            <w:pPr>
              <w:spacing w:after="0" w:line="264" w:lineRule="auto"/>
            </w:pPr>
            <w:r>
              <w:rPr>
                <w:sz w:val="19"/>
              </w:rPr>
              <w:t>Escalation routes and support contacts are known.</w:t>
            </w:r>
          </w:p>
        </w:tc>
        <w:tc>
          <w:tcPr>
            <w:tcW w:w="4464" w:type="dxa"/>
            <w:vAlign w:val="center"/>
          </w:tcPr>
          <w:p w14:paraId="12B96BBA" w14:textId="77777777" w:rsidR="00676E67" w:rsidRDefault="00000000">
            <w:pPr>
              <w:spacing w:after="0" w:line="264" w:lineRule="auto"/>
            </w:pPr>
            <w:r>
              <w:rPr>
                <w:sz w:val="19"/>
              </w:rPr>
              <w:t>The new hire should know who to contact for role, system, or workflow issues.</w:t>
            </w:r>
          </w:p>
        </w:tc>
      </w:tr>
      <w:tr w:rsidR="00676E67" w14:paraId="2E7F536A" w14:textId="77777777">
        <w:trPr>
          <w:jc w:val="center"/>
        </w:trPr>
        <w:tc>
          <w:tcPr>
            <w:tcW w:w="648" w:type="dxa"/>
            <w:vAlign w:val="center"/>
          </w:tcPr>
          <w:p w14:paraId="6B23A8AD" w14:textId="77777777" w:rsidR="00676E67" w:rsidRDefault="00000000">
            <w:pPr>
              <w:spacing w:after="0" w:line="264" w:lineRule="auto"/>
              <w:jc w:val="center"/>
            </w:pPr>
            <w:r>
              <w:rPr>
                <w:sz w:val="19"/>
              </w:rPr>
              <w:t>□</w:t>
            </w:r>
          </w:p>
        </w:tc>
        <w:tc>
          <w:tcPr>
            <w:tcW w:w="4392" w:type="dxa"/>
            <w:vAlign w:val="center"/>
          </w:tcPr>
          <w:p w14:paraId="520AE2EB" w14:textId="77777777" w:rsidR="00676E67" w:rsidRDefault="00000000">
            <w:pPr>
              <w:spacing w:after="0" w:line="264" w:lineRule="auto"/>
            </w:pPr>
            <w:r>
              <w:rPr>
                <w:sz w:val="19"/>
              </w:rPr>
              <w:t>Reporting templates, trackers, and approval pathways are available.</w:t>
            </w:r>
          </w:p>
        </w:tc>
        <w:tc>
          <w:tcPr>
            <w:tcW w:w="4464" w:type="dxa"/>
            <w:vAlign w:val="center"/>
          </w:tcPr>
          <w:p w14:paraId="06B024C5" w14:textId="77777777" w:rsidR="00676E67" w:rsidRDefault="00000000">
            <w:pPr>
              <w:spacing w:after="0" w:line="264" w:lineRule="auto"/>
            </w:pPr>
            <w:r>
              <w:rPr>
                <w:sz w:val="19"/>
              </w:rPr>
              <w:t>This supports cleaner early execution.</w:t>
            </w:r>
          </w:p>
        </w:tc>
      </w:tr>
      <w:tr w:rsidR="00676E67" w14:paraId="3089240B" w14:textId="77777777">
        <w:trPr>
          <w:jc w:val="center"/>
        </w:trPr>
        <w:tc>
          <w:tcPr>
            <w:tcW w:w="648" w:type="dxa"/>
            <w:vAlign w:val="center"/>
          </w:tcPr>
          <w:p w14:paraId="65AFC5AC" w14:textId="77777777" w:rsidR="00676E67" w:rsidRDefault="00000000">
            <w:pPr>
              <w:spacing w:after="0" w:line="264" w:lineRule="auto"/>
              <w:jc w:val="center"/>
            </w:pPr>
            <w:r>
              <w:rPr>
                <w:sz w:val="19"/>
              </w:rPr>
              <w:t>□</w:t>
            </w:r>
          </w:p>
        </w:tc>
        <w:tc>
          <w:tcPr>
            <w:tcW w:w="4392" w:type="dxa"/>
            <w:vAlign w:val="center"/>
          </w:tcPr>
          <w:p w14:paraId="233F5238" w14:textId="77777777" w:rsidR="00676E67" w:rsidRDefault="00000000">
            <w:pPr>
              <w:spacing w:after="0" w:line="264" w:lineRule="auto"/>
            </w:pPr>
            <w:r>
              <w:rPr>
                <w:sz w:val="19"/>
              </w:rPr>
              <w:t>Performance standards and expected quality levels are explained.</w:t>
            </w:r>
          </w:p>
        </w:tc>
        <w:tc>
          <w:tcPr>
            <w:tcW w:w="4464" w:type="dxa"/>
            <w:vAlign w:val="center"/>
          </w:tcPr>
          <w:p w14:paraId="4F41F60D" w14:textId="77777777" w:rsidR="00676E67" w:rsidRDefault="00000000">
            <w:pPr>
              <w:spacing w:after="0" w:line="264" w:lineRule="auto"/>
            </w:pPr>
            <w:r>
              <w:rPr>
                <w:sz w:val="19"/>
              </w:rPr>
              <w:t>Use examples where helpful.</w:t>
            </w:r>
          </w:p>
        </w:tc>
      </w:tr>
      <w:tr w:rsidR="00676E67" w14:paraId="49C6CD28" w14:textId="77777777">
        <w:trPr>
          <w:jc w:val="center"/>
        </w:trPr>
        <w:tc>
          <w:tcPr>
            <w:tcW w:w="648" w:type="dxa"/>
            <w:vAlign w:val="center"/>
          </w:tcPr>
          <w:p w14:paraId="1838933D" w14:textId="77777777" w:rsidR="00676E67" w:rsidRDefault="00000000">
            <w:pPr>
              <w:spacing w:after="0" w:line="264" w:lineRule="auto"/>
              <w:jc w:val="center"/>
            </w:pPr>
            <w:r>
              <w:rPr>
                <w:sz w:val="19"/>
              </w:rPr>
              <w:t>□</w:t>
            </w:r>
          </w:p>
        </w:tc>
        <w:tc>
          <w:tcPr>
            <w:tcW w:w="4392" w:type="dxa"/>
            <w:vAlign w:val="center"/>
          </w:tcPr>
          <w:p w14:paraId="4D754B73" w14:textId="77777777" w:rsidR="00676E67" w:rsidRDefault="00000000">
            <w:pPr>
              <w:spacing w:after="0" w:line="264" w:lineRule="auto"/>
            </w:pPr>
            <w:r>
              <w:rPr>
                <w:sz w:val="19"/>
              </w:rPr>
              <w:t>Any market-specific onboarding requirements are captured.</w:t>
            </w:r>
          </w:p>
        </w:tc>
        <w:tc>
          <w:tcPr>
            <w:tcW w:w="4464" w:type="dxa"/>
            <w:vAlign w:val="center"/>
          </w:tcPr>
          <w:p w14:paraId="27DC4EC6" w14:textId="77777777" w:rsidR="00676E67" w:rsidRDefault="00000000">
            <w:pPr>
              <w:spacing w:after="0" w:line="264" w:lineRule="auto"/>
            </w:pPr>
            <w:r>
              <w:rPr>
                <w:sz w:val="19"/>
              </w:rPr>
              <w:t>Include payroll, statutory, or employment support steps where relevant.</w:t>
            </w:r>
          </w:p>
        </w:tc>
      </w:tr>
    </w:tbl>
    <w:p w14:paraId="6AB95F74" w14:textId="26FEECC7" w:rsidR="00676E67" w:rsidRDefault="00942517">
      <w:r>
        <w:br/>
      </w:r>
    </w:p>
    <w:p w14:paraId="648FE2DE" w14:textId="77777777" w:rsidR="00676E67" w:rsidRDefault="00000000">
      <w:pPr>
        <w:pStyle w:val="Heading2"/>
      </w:pPr>
      <w:r>
        <w:t>Recommended 30-day review framework</w:t>
      </w:r>
    </w:p>
    <w:tbl>
      <w:tblPr>
        <w:tblW w:w="0" w:type="auto"/>
        <w:jc w:val="center"/>
        <w:tblBorders>
          <w:top w:val="single" w:sz="8" w:space="0" w:color="D6E0EC"/>
          <w:left w:val="single" w:sz="8" w:space="0" w:color="D6E0EC"/>
          <w:bottom w:val="single" w:sz="8" w:space="0" w:color="D6E0EC"/>
          <w:right w:val="single" w:sz="8" w:space="0" w:color="D6E0EC"/>
          <w:insideH w:val="single" w:sz="8" w:space="0" w:color="D6E0EC"/>
          <w:insideV w:val="single" w:sz="8" w:space="0" w:color="D6E0EC"/>
        </w:tblBorders>
        <w:tblLook w:val="04A0" w:firstRow="1" w:lastRow="0" w:firstColumn="1" w:lastColumn="0" w:noHBand="0" w:noVBand="1"/>
      </w:tblPr>
      <w:tblGrid>
        <w:gridCol w:w="4662"/>
        <w:gridCol w:w="5778"/>
      </w:tblGrid>
      <w:tr w:rsidR="00676E67" w14:paraId="72DB1FA0" w14:textId="77777777">
        <w:trPr>
          <w:tblHeader/>
          <w:jc w:val="center"/>
        </w:trPr>
        <w:tc>
          <w:tcPr>
            <w:tcW w:w="5112" w:type="dxa"/>
            <w:shd w:val="clear" w:color="auto" w:fill="EAF2FB"/>
          </w:tcPr>
          <w:p w14:paraId="7EFF56E8" w14:textId="77777777" w:rsidR="00676E67" w:rsidRDefault="00000000">
            <w:r>
              <w:rPr>
                <w:b/>
                <w:color w:val="0F3158"/>
                <w:sz w:val="18"/>
              </w:rPr>
              <w:t>Review area</w:t>
            </w:r>
          </w:p>
        </w:tc>
        <w:tc>
          <w:tcPr>
            <w:tcW w:w="5112" w:type="dxa"/>
            <w:shd w:val="clear" w:color="auto" w:fill="EAF2FB"/>
          </w:tcPr>
          <w:p w14:paraId="24B5F094" w14:textId="77777777" w:rsidR="00676E67" w:rsidRDefault="00000000">
            <w:r>
              <w:rPr>
                <w:b/>
                <w:color w:val="0F3158"/>
                <w:sz w:val="18"/>
              </w:rPr>
              <w:t>Questions to answer</w:t>
            </w:r>
          </w:p>
        </w:tc>
      </w:tr>
      <w:tr w:rsidR="00676E67" w14:paraId="5148E87C" w14:textId="77777777">
        <w:trPr>
          <w:jc w:val="center"/>
        </w:trPr>
        <w:tc>
          <w:tcPr>
            <w:tcW w:w="3168" w:type="dxa"/>
            <w:vAlign w:val="center"/>
          </w:tcPr>
          <w:p w14:paraId="5B59305D" w14:textId="77777777" w:rsidR="00676E67" w:rsidRDefault="00000000">
            <w:pPr>
              <w:spacing w:after="0" w:line="264" w:lineRule="auto"/>
            </w:pPr>
            <w:r>
              <w:rPr>
                <w:sz w:val="19"/>
              </w:rPr>
              <w:t>Role clarity</w:t>
            </w:r>
          </w:p>
        </w:tc>
        <w:tc>
          <w:tcPr>
            <w:tcW w:w="6336" w:type="dxa"/>
            <w:vAlign w:val="center"/>
          </w:tcPr>
          <w:p w14:paraId="07A147B7" w14:textId="77777777" w:rsidR="00676E67" w:rsidRDefault="00000000">
            <w:pPr>
              <w:spacing w:after="0" w:line="264" w:lineRule="auto"/>
            </w:pPr>
            <w:r>
              <w:rPr>
                <w:sz w:val="19"/>
              </w:rPr>
              <w:t>Does the new hire clearly understand responsibilities, priorities, and expected outputs?</w:t>
            </w:r>
          </w:p>
        </w:tc>
      </w:tr>
      <w:tr w:rsidR="00676E67" w14:paraId="1B41E3B2" w14:textId="77777777">
        <w:trPr>
          <w:jc w:val="center"/>
        </w:trPr>
        <w:tc>
          <w:tcPr>
            <w:tcW w:w="3168" w:type="dxa"/>
            <w:vAlign w:val="center"/>
          </w:tcPr>
          <w:p w14:paraId="750BAEF1" w14:textId="77777777" w:rsidR="00676E67" w:rsidRDefault="00000000">
            <w:pPr>
              <w:spacing w:after="0" w:line="264" w:lineRule="auto"/>
            </w:pPr>
            <w:r>
              <w:rPr>
                <w:sz w:val="19"/>
              </w:rPr>
              <w:t>Workflow confidence</w:t>
            </w:r>
          </w:p>
        </w:tc>
        <w:tc>
          <w:tcPr>
            <w:tcW w:w="6336" w:type="dxa"/>
            <w:vAlign w:val="center"/>
          </w:tcPr>
          <w:p w14:paraId="5C4341D8" w14:textId="77777777" w:rsidR="00676E67" w:rsidRDefault="00000000">
            <w:pPr>
              <w:spacing w:after="0" w:line="264" w:lineRule="auto"/>
            </w:pPr>
            <w:r>
              <w:rPr>
                <w:sz w:val="19"/>
              </w:rPr>
              <w:t>Can the role holder use the tools, systems, and SOPs needed to perform independently?</w:t>
            </w:r>
          </w:p>
        </w:tc>
      </w:tr>
      <w:tr w:rsidR="00676E67" w14:paraId="4A754513" w14:textId="77777777">
        <w:trPr>
          <w:jc w:val="center"/>
        </w:trPr>
        <w:tc>
          <w:tcPr>
            <w:tcW w:w="3168" w:type="dxa"/>
            <w:vAlign w:val="center"/>
          </w:tcPr>
          <w:p w14:paraId="49C8F08A" w14:textId="77777777" w:rsidR="00676E67" w:rsidRDefault="00000000">
            <w:pPr>
              <w:spacing w:after="0" w:line="264" w:lineRule="auto"/>
            </w:pPr>
            <w:r>
              <w:rPr>
                <w:sz w:val="19"/>
              </w:rPr>
              <w:t>Support needs</w:t>
            </w:r>
          </w:p>
        </w:tc>
        <w:tc>
          <w:tcPr>
            <w:tcW w:w="6336" w:type="dxa"/>
            <w:vAlign w:val="center"/>
          </w:tcPr>
          <w:p w14:paraId="3CC0C5E9" w14:textId="77777777" w:rsidR="00676E67" w:rsidRDefault="00000000">
            <w:pPr>
              <w:spacing w:after="0" w:line="264" w:lineRule="auto"/>
            </w:pPr>
            <w:r>
              <w:rPr>
                <w:sz w:val="19"/>
              </w:rPr>
              <w:t>Are there any training gaps, access issues, or manager-support gaps still unresolved?</w:t>
            </w:r>
          </w:p>
        </w:tc>
      </w:tr>
      <w:tr w:rsidR="00676E67" w14:paraId="682C2A9D" w14:textId="77777777">
        <w:trPr>
          <w:jc w:val="center"/>
        </w:trPr>
        <w:tc>
          <w:tcPr>
            <w:tcW w:w="3168" w:type="dxa"/>
            <w:vAlign w:val="center"/>
          </w:tcPr>
          <w:p w14:paraId="0FE7C40B" w14:textId="77777777" w:rsidR="00676E67" w:rsidRDefault="00000000">
            <w:pPr>
              <w:spacing w:after="0" w:line="264" w:lineRule="auto"/>
            </w:pPr>
            <w:r>
              <w:rPr>
                <w:sz w:val="19"/>
              </w:rPr>
              <w:t>Engagement and retention</w:t>
            </w:r>
          </w:p>
        </w:tc>
        <w:tc>
          <w:tcPr>
            <w:tcW w:w="6336" w:type="dxa"/>
            <w:vAlign w:val="center"/>
          </w:tcPr>
          <w:p w14:paraId="4958A12D" w14:textId="77777777" w:rsidR="00676E67" w:rsidRDefault="00000000">
            <w:pPr>
              <w:spacing w:after="0" w:line="264" w:lineRule="auto"/>
            </w:pPr>
            <w:r>
              <w:rPr>
                <w:sz w:val="19"/>
              </w:rPr>
              <w:t>Is the new hire settling well into the team and communication rhythm?</w:t>
            </w:r>
          </w:p>
        </w:tc>
      </w:tr>
      <w:tr w:rsidR="00676E67" w14:paraId="3568BF88" w14:textId="77777777">
        <w:trPr>
          <w:jc w:val="center"/>
        </w:trPr>
        <w:tc>
          <w:tcPr>
            <w:tcW w:w="3168" w:type="dxa"/>
            <w:vAlign w:val="center"/>
          </w:tcPr>
          <w:p w14:paraId="016BBF20" w14:textId="77777777" w:rsidR="00676E67" w:rsidRDefault="00000000">
            <w:pPr>
              <w:spacing w:after="0" w:line="264" w:lineRule="auto"/>
            </w:pPr>
            <w:r>
              <w:rPr>
                <w:sz w:val="19"/>
              </w:rPr>
              <w:t>Operational fit</w:t>
            </w:r>
          </w:p>
        </w:tc>
        <w:tc>
          <w:tcPr>
            <w:tcW w:w="6336" w:type="dxa"/>
            <w:vAlign w:val="center"/>
          </w:tcPr>
          <w:p w14:paraId="1D8FEC4B" w14:textId="77777777" w:rsidR="00676E67" w:rsidRDefault="00000000">
            <w:pPr>
              <w:spacing w:after="0" w:line="264" w:lineRule="auto"/>
            </w:pPr>
            <w:r>
              <w:rPr>
                <w:sz w:val="19"/>
              </w:rPr>
              <w:t>Does the current onboarding structure still match the real demands of the role and team?</w:t>
            </w:r>
          </w:p>
        </w:tc>
      </w:tr>
    </w:tbl>
    <w:p w14:paraId="0E8891EC" w14:textId="1CCE52B4" w:rsidR="00676E67" w:rsidRDefault="00942517">
      <w:r>
        <w:br/>
      </w:r>
    </w:p>
    <w:p w14:paraId="2852CDDF" w14:textId="77777777" w:rsidR="00676E67" w:rsidRDefault="00000000">
      <w:pPr>
        <w:pStyle w:val="Heading1"/>
      </w:pPr>
      <w:r>
        <w:t>Planning notes and next actions</w:t>
      </w:r>
    </w:p>
    <w:p w14:paraId="0BB0B443" w14:textId="77777777" w:rsidR="00676E67" w:rsidRDefault="00000000">
      <w:pPr>
        <w:spacing w:after="100"/>
      </w:pPr>
      <w:r>
        <w:t>Capture any decisions, dependencies, cross-functional actions, or follow-up items that should be completed to support a stronger onboarding experience.</w:t>
      </w:r>
    </w:p>
    <w:tbl>
      <w:tblPr>
        <w:tblW w:w="0" w:type="auto"/>
        <w:jc w:val="center"/>
        <w:tblBorders>
          <w:top w:val="single" w:sz="8" w:space="0" w:color="DCE5EF"/>
          <w:left w:val="single" w:sz="8" w:space="0" w:color="DCE5EF"/>
          <w:bottom w:val="single" w:sz="8" w:space="0" w:color="DCE5EF"/>
          <w:right w:val="single" w:sz="8" w:space="0" w:color="DCE5EF"/>
          <w:insideH w:val="single" w:sz="8" w:space="0" w:color="DCE5EF"/>
          <w:insideV w:val="single" w:sz="8" w:space="0" w:color="DCE5EF"/>
        </w:tblBorders>
        <w:tblLook w:val="04A0" w:firstRow="1" w:lastRow="0" w:firstColumn="1" w:lastColumn="0" w:noHBand="0" w:noVBand="1"/>
      </w:tblPr>
      <w:tblGrid>
        <w:gridCol w:w="5112"/>
        <w:gridCol w:w="5112"/>
      </w:tblGrid>
      <w:tr w:rsidR="00676E67" w14:paraId="317926E8" w14:textId="77777777">
        <w:trPr>
          <w:jc w:val="center"/>
        </w:trPr>
        <w:tc>
          <w:tcPr>
            <w:tcW w:w="5112" w:type="dxa"/>
            <w:shd w:val="clear" w:color="auto" w:fill="EAF2FB"/>
          </w:tcPr>
          <w:p w14:paraId="1500366C" w14:textId="77777777" w:rsidR="00676E67" w:rsidRDefault="00000000">
            <w:r>
              <w:rPr>
                <w:b/>
                <w:color w:val="0F3158"/>
                <w:sz w:val="18"/>
              </w:rPr>
              <w:t>Owner / date</w:t>
            </w:r>
          </w:p>
        </w:tc>
        <w:tc>
          <w:tcPr>
            <w:tcW w:w="5112" w:type="dxa"/>
            <w:shd w:val="clear" w:color="auto" w:fill="EAF2FB"/>
          </w:tcPr>
          <w:p w14:paraId="44349D08" w14:textId="77777777" w:rsidR="00676E67" w:rsidRDefault="00000000">
            <w:r>
              <w:rPr>
                <w:b/>
                <w:color w:val="0F3158"/>
                <w:sz w:val="18"/>
              </w:rPr>
              <w:t>Action, dependency, or note</w:t>
            </w:r>
          </w:p>
        </w:tc>
      </w:tr>
      <w:tr w:rsidR="00676E67" w14:paraId="3A389EC4" w14:textId="77777777">
        <w:trPr>
          <w:jc w:val="center"/>
        </w:trPr>
        <w:tc>
          <w:tcPr>
            <w:tcW w:w="5112" w:type="dxa"/>
            <w:vAlign w:val="center"/>
          </w:tcPr>
          <w:p w14:paraId="0FD65472" w14:textId="77777777" w:rsidR="00676E67" w:rsidRDefault="00676E67"/>
        </w:tc>
        <w:tc>
          <w:tcPr>
            <w:tcW w:w="5112" w:type="dxa"/>
            <w:vAlign w:val="center"/>
          </w:tcPr>
          <w:p w14:paraId="2C725BCD" w14:textId="77777777" w:rsidR="00676E67" w:rsidRDefault="00676E67"/>
        </w:tc>
      </w:tr>
      <w:tr w:rsidR="00676E67" w14:paraId="7C1C3B44" w14:textId="77777777">
        <w:trPr>
          <w:jc w:val="center"/>
        </w:trPr>
        <w:tc>
          <w:tcPr>
            <w:tcW w:w="5112" w:type="dxa"/>
            <w:vAlign w:val="center"/>
          </w:tcPr>
          <w:p w14:paraId="292F9022" w14:textId="77777777" w:rsidR="00676E67" w:rsidRDefault="00676E67"/>
        </w:tc>
        <w:tc>
          <w:tcPr>
            <w:tcW w:w="5112" w:type="dxa"/>
            <w:vAlign w:val="center"/>
          </w:tcPr>
          <w:p w14:paraId="20B93468" w14:textId="77777777" w:rsidR="00676E67" w:rsidRDefault="00676E67"/>
        </w:tc>
      </w:tr>
      <w:tr w:rsidR="00676E67" w14:paraId="143D23AE" w14:textId="77777777">
        <w:trPr>
          <w:jc w:val="center"/>
        </w:trPr>
        <w:tc>
          <w:tcPr>
            <w:tcW w:w="5112" w:type="dxa"/>
            <w:vAlign w:val="center"/>
          </w:tcPr>
          <w:p w14:paraId="621A9676" w14:textId="77777777" w:rsidR="00676E67" w:rsidRDefault="00676E67"/>
        </w:tc>
        <w:tc>
          <w:tcPr>
            <w:tcW w:w="5112" w:type="dxa"/>
            <w:vAlign w:val="center"/>
          </w:tcPr>
          <w:p w14:paraId="310B2953" w14:textId="77777777" w:rsidR="00676E67" w:rsidRDefault="00676E67"/>
        </w:tc>
      </w:tr>
      <w:tr w:rsidR="00676E67" w14:paraId="396C47F2" w14:textId="77777777">
        <w:trPr>
          <w:jc w:val="center"/>
        </w:trPr>
        <w:tc>
          <w:tcPr>
            <w:tcW w:w="5112" w:type="dxa"/>
            <w:vAlign w:val="center"/>
          </w:tcPr>
          <w:p w14:paraId="088E8B7A" w14:textId="77777777" w:rsidR="00676E67" w:rsidRDefault="00676E67"/>
        </w:tc>
        <w:tc>
          <w:tcPr>
            <w:tcW w:w="5112" w:type="dxa"/>
            <w:vAlign w:val="center"/>
          </w:tcPr>
          <w:p w14:paraId="5F8982D0" w14:textId="77777777" w:rsidR="00676E67" w:rsidRDefault="00676E67"/>
        </w:tc>
      </w:tr>
      <w:tr w:rsidR="00676E67" w14:paraId="14B3A7BB" w14:textId="77777777">
        <w:trPr>
          <w:jc w:val="center"/>
        </w:trPr>
        <w:tc>
          <w:tcPr>
            <w:tcW w:w="5112" w:type="dxa"/>
            <w:vAlign w:val="center"/>
          </w:tcPr>
          <w:p w14:paraId="0A10D55A" w14:textId="77777777" w:rsidR="00676E67" w:rsidRDefault="00676E67"/>
        </w:tc>
        <w:tc>
          <w:tcPr>
            <w:tcW w:w="5112" w:type="dxa"/>
            <w:vAlign w:val="center"/>
          </w:tcPr>
          <w:p w14:paraId="42D58748" w14:textId="77777777" w:rsidR="00676E67" w:rsidRDefault="00676E67"/>
        </w:tc>
      </w:tr>
      <w:tr w:rsidR="00676E67" w14:paraId="0EA97AEA" w14:textId="77777777">
        <w:trPr>
          <w:jc w:val="center"/>
        </w:trPr>
        <w:tc>
          <w:tcPr>
            <w:tcW w:w="5112" w:type="dxa"/>
            <w:vAlign w:val="center"/>
          </w:tcPr>
          <w:p w14:paraId="4B366ADA" w14:textId="77777777" w:rsidR="00676E67" w:rsidRDefault="00676E67"/>
        </w:tc>
        <w:tc>
          <w:tcPr>
            <w:tcW w:w="5112" w:type="dxa"/>
            <w:vAlign w:val="center"/>
          </w:tcPr>
          <w:p w14:paraId="01AE16B3" w14:textId="77777777" w:rsidR="00676E67" w:rsidRDefault="00676E67"/>
        </w:tc>
      </w:tr>
      <w:tr w:rsidR="00676E67" w14:paraId="2E9EF877" w14:textId="77777777">
        <w:trPr>
          <w:jc w:val="center"/>
        </w:trPr>
        <w:tc>
          <w:tcPr>
            <w:tcW w:w="5112" w:type="dxa"/>
            <w:vAlign w:val="center"/>
          </w:tcPr>
          <w:p w14:paraId="16DD2B18" w14:textId="77777777" w:rsidR="00676E67" w:rsidRDefault="00676E67"/>
        </w:tc>
        <w:tc>
          <w:tcPr>
            <w:tcW w:w="5112" w:type="dxa"/>
            <w:vAlign w:val="center"/>
          </w:tcPr>
          <w:p w14:paraId="3DCAF828" w14:textId="77777777" w:rsidR="00676E67" w:rsidRDefault="00676E67"/>
        </w:tc>
      </w:tr>
    </w:tbl>
    <w:p w14:paraId="23AEB038" w14:textId="32479703" w:rsidR="00676E67" w:rsidRDefault="00942517">
      <w:r>
        <w:br/>
      </w:r>
    </w:p>
    <w:p w14:paraId="7FAB16A7" w14:textId="77777777" w:rsidR="00676E67" w:rsidRDefault="00000000">
      <w:pPr>
        <w:pStyle w:val="Heading1"/>
      </w:pPr>
      <w:r>
        <w:t>A stronger onboarding plan supports stronger remote team performance</w:t>
      </w:r>
    </w:p>
    <w:p w14:paraId="6190FB5A" w14:textId="77777777" w:rsidR="00676E67" w:rsidRDefault="00000000">
      <w:pPr>
        <w:spacing w:after="100"/>
      </w:pPr>
      <w:r>
        <w:t>Remote onboarding is most effective when it is treated as part of operational planning rather than as a last-minute handover. A well-built onboarding planner helps businesses protect productivity, improve manager readiness, reduce friction for new hires, and create stronger foundations for long-term remote team performance.</w:t>
      </w:r>
    </w:p>
    <w:p w14:paraId="1207A11C" w14:textId="77777777" w:rsidR="00676E67" w:rsidRDefault="00000000">
      <w:pPr>
        <w:pStyle w:val="ListBullet"/>
        <w:spacing w:after="40" w:line="264" w:lineRule="auto"/>
      </w:pPr>
      <w:r>
        <w:rPr>
          <w:sz w:val="20"/>
        </w:rPr>
        <w:t>Use alongside role planning, hiring, and onboarding checklists for a more joined-up process</w:t>
      </w:r>
    </w:p>
    <w:p w14:paraId="49BC7AD9" w14:textId="77777777" w:rsidR="00676E67" w:rsidRDefault="00000000">
      <w:pPr>
        <w:pStyle w:val="ListBullet"/>
        <w:spacing w:after="40" w:line="264" w:lineRule="auto"/>
      </w:pPr>
      <w:r>
        <w:rPr>
          <w:sz w:val="20"/>
        </w:rPr>
        <w:t>Review before every new hire to improve consistency across teams and locations</w:t>
      </w:r>
    </w:p>
    <w:p w14:paraId="5EC1C234" w14:textId="77777777" w:rsidR="00676E67" w:rsidRDefault="00000000">
      <w:pPr>
        <w:pStyle w:val="ListBullet"/>
        <w:spacing w:after="40" w:line="264" w:lineRule="auto"/>
      </w:pPr>
      <w:r>
        <w:rPr>
          <w:sz w:val="20"/>
        </w:rPr>
        <w:t>Adapt by department, market, and support model while keeping the core structure consistent</w:t>
      </w:r>
    </w:p>
    <w:sectPr w:rsidR="00676E67" w:rsidSect="00034616">
      <w:headerReference w:type="default" r:id="rId9"/>
      <w:footerReference w:type="default" r:id="rId10"/>
      <w:pgSz w:w="12240" w:h="15840"/>
      <w:pgMar w:top="1008" w:right="1008" w:bottom="864"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00CE12" w14:textId="77777777" w:rsidR="007F1EAA" w:rsidRDefault="007F1EAA">
      <w:pPr>
        <w:spacing w:after="0" w:line="240" w:lineRule="auto"/>
      </w:pPr>
      <w:r>
        <w:separator/>
      </w:r>
    </w:p>
  </w:endnote>
  <w:endnote w:type="continuationSeparator" w:id="0">
    <w:p w14:paraId="3596AE80" w14:textId="77777777" w:rsidR="007F1EAA" w:rsidRDefault="007F1E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DE1BD" w14:textId="16683FBD" w:rsidR="00676E67" w:rsidRDefault="00000000">
    <w:pPr>
      <w:pStyle w:val="Footer"/>
      <w:jc w:val="center"/>
    </w:pPr>
    <w:r>
      <w:rPr>
        <w:noProof/>
      </w:rPr>
      <w:drawing>
        <wp:inline distT="0" distB="0" distL="0" distR="0" wp14:anchorId="3A4F9940" wp14:editId="1AB6FDED">
          <wp:extent cx="502920" cy="502920"/>
          <wp:effectExtent l="0" t="0" r="0" b="0"/>
          <wp:docPr id="408108664" name="Picture 408108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
                  <a:stretch>
                    <a:fillRect/>
                  </a:stretch>
                </pic:blipFill>
                <pic:spPr>
                  <a:xfrm>
                    <a:off x="0" y="0"/>
                    <a:ext cx="502920" cy="502920"/>
                  </a:xfrm>
                  <a:prstGeom prst="rect">
                    <a:avLst/>
                  </a:prstGeom>
                </pic:spPr>
              </pic:pic>
            </a:graphicData>
          </a:graphic>
        </wp:inline>
      </w:drawing>
    </w:r>
    <w:r>
      <w:rPr>
        <w:color w:val="5C6A7D"/>
        <w:sz w:val="16"/>
      </w:rPr>
      <w:t xml:space="preserve">  Borderless Talent Hub  |  Global remote talent, payroll support, and compliance coordination </w:t>
    </w:r>
    <w:r w:rsidR="00942517">
      <w:rPr>
        <w:color w:val="5C6A7D"/>
        <w:sz w:val="16"/>
      </w:rPr>
      <w:t xml:space="preserve"> |  </w:t>
    </w:r>
    <w:r w:rsidR="00942517">
      <w:rPr>
        <w:color w:val="5C6A7D"/>
        <w:sz w:val="16"/>
      </w:rPr>
      <w:t>www.borderlesstalenthub.com</w:t>
    </w:r>
    <w:r>
      <w:rPr>
        <w:color w:val="5C6A7D"/>
        <w:sz w:val="16"/>
      </w:rPr>
      <w:t xml:space="preserve"> |  </w:t>
    </w:r>
    <w:r>
      <w:fldChar w:fldCharType="begin"/>
    </w:r>
    <w:r>
      <w:instrText>PAGE</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628F9F" w14:textId="77777777" w:rsidR="007F1EAA" w:rsidRDefault="007F1EAA">
      <w:pPr>
        <w:spacing w:after="0" w:line="240" w:lineRule="auto"/>
      </w:pPr>
      <w:r>
        <w:separator/>
      </w:r>
    </w:p>
  </w:footnote>
  <w:footnote w:type="continuationSeparator" w:id="0">
    <w:p w14:paraId="20DEAD65" w14:textId="77777777" w:rsidR="007F1EAA" w:rsidRDefault="007F1E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AB488" w14:textId="77777777" w:rsidR="00676E67" w:rsidRDefault="00676E67">
    <w:pPr>
      <w:pStyle w:val="Header"/>
    </w:pPr>
  </w:p>
  <w:tbl>
    <w:tblPr>
      <w:tblW w:w="0" w:type="auto"/>
      <w:jc w:val="center"/>
      <w:tblLook w:val="04A0" w:firstRow="1" w:lastRow="0" w:firstColumn="1" w:lastColumn="0" w:noHBand="0" w:noVBand="1"/>
    </w:tblPr>
    <w:tblGrid>
      <w:gridCol w:w="10218"/>
      <w:gridCol w:w="222"/>
    </w:tblGrid>
    <w:tr w:rsidR="00676E67" w14:paraId="75C469BA" w14:textId="77777777">
      <w:trPr>
        <w:jc w:val="center"/>
      </w:trPr>
      <w:tc>
        <w:tcPr>
          <w:tcW w:w="4896" w:type="dxa"/>
        </w:tcPr>
        <w:tbl>
          <w:tblPr>
            <w:tblStyle w:val="TableGrid"/>
            <w:tblW w:w="10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7"/>
            <w:gridCol w:w="2165"/>
            <w:gridCol w:w="1986"/>
          </w:tblGrid>
          <w:tr w:rsidR="00942517" w14:paraId="68BAE6C4" w14:textId="77777777" w:rsidTr="000A42FD">
            <w:trPr>
              <w:trHeight w:val="672"/>
            </w:trPr>
            <w:tc>
              <w:tcPr>
                <w:tcW w:w="6097" w:type="dxa"/>
              </w:tcPr>
              <w:p w14:paraId="5D00BA02" w14:textId="77777777" w:rsidR="00942517" w:rsidRDefault="00942517" w:rsidP="00942517">
                <w:r>
                  <w:rPr>
                    <w:noProof/>
                  </w:rPr>
                  <w:drawing>
                    <wp:inline distT="0" distB="0" distL="0" distR="0" wp14:anchorId="6533E34A" wp14:editId="12A371EA">
                      <wp:extent cx="1790700" cy="939565"/>
                      <wp:effectExtent l="0" t="0" r="0" b="0"/>
                      <wp:docPr id="980154976" name="Picture 980154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rotWithShape="1">
                              <a:blip r:embed="rId1"/>
                              <a:srcRect t="23148" b="24382"/>
                              <a:stretch>
                                <a:fillRect/>
                              </a:stretch>
                            </pic:blipFill>
                            <pic:spPr bwMode="auto">
                              <a:xfrm>
                                <a:off x="0" y="0"/>
                                <a:ext cx="1796222" cy="942462"/>
                              </a:xfrm>
                              <a:prstGeom prst="rect">
                                <a:avLst/>
                              </a:prstGeom>
                              <a:ln>
                                <a:noFill/>
                              </a:ln>
                              <a:extLst>
                                <a:ext uri="{53640926-AAD7-44D8-BBD7-CCE9431645EC}">
                                  <a14:shadowObscured xmlns:a14="http://schemas.microsoft.com/office/drawing/2010/main"/>
                                </a:ext>
                              </a:extLst>
                            </pic:spPr>
                          </pic:pic>
                        </a:graphicData>
                      </a:graphic>
                    </wp:inline>
                  </w:drawing>
                </w:r>
              </w:p>
            </w:tc>
            <w:tc>
              <w:tcPr>
                <w:tcW w:w="2165" w:type="dxa"/>
              </w:tcPr>
              <w:p w14:paraId="7FECC4DA" w14:textId="77777777" w:rsidR="00942517" w:rsidRDefault="00942517" w:rsidP="00942517">
                <w:pPr>
                  <w:jc w:val="right"/>
                  <w:rPr>
                    <w:b/>
                    <w:color w:val="0F3158"/>
                    <w:sz w:val="17"/>
                  </w:rPr>
                </w:pPr>
              </w:p>
              <w:p w14:paraId="3948CF24" w14:textId="77777777" w:rsidR="00942517" w:rsidRDefault="00942517" w:rsidP="00942517">
                <w:pPr>
                  <w:jc w:val="right"/>
                  <w:rPr>
                    <w:b/>
                    <w:color w:val="0F3158"/>
                    <w:sz w:val="17"/>
                  </w:rPr>
                </w:pPr>
              </w:p>
              <w:p w14:paraId="393F59F1" w14:textId="77777777" w:rsidR="00942517" w:rsidRDefault="00942517" w:rsidP="00942517">
                <w:pPr>
                  <w:jc w:val="right"/>
                  <w:rPr>
                    <w:b/>
                    <w:color w:val="0F3158"/>
                    <w:sz w:val="17"/>
                  </w:rPr>
                </w:pPr>
              </w:p>
              <w:p w14:paraId="4E6A3F6D" w14:textId="0EE016A5" w:rsidR="00942517" w:rsidRDefault="00942517" w:rsidP="00942517">
                <w:pPr>
                  <w:jc w:val="right"/>
                </w:pPr>
                <w:r w:rsidRPr="007359E8">
                  <w:rPr>
                    <w:b/>
                    <w:color w:val="0F3158"/>
                    <w:sz w:val="17"/>
                  </w:rPr>
                  <w:t xml:space="preserve">Onboarding </w:t>
                </w:r>
                <w:r>
                  <w:rPr>
                    <w:b/>
                    <w:color w:val="0F3158"/>
                    <w:sz w:val="17"/>
                  </w:rPr>
                  <w:t>Planner</w:t>
                </w:r>
                <w:r w:rsidRPr="007359E8">
                  <w:rPr>
                    <w:b/>
                    <w:color w:val="0F3158"/>
                    <w:sz w:val="17"/>
                  </w:rPr>
                  <w:t xml:space="preserve">    |</w:t>
                </w:r>
              </w:p>
            </w:tc>
            <w:tc>
              <w:tcPr>
                <w:tcW w:w="1986" w:type="dxa"/>
              </w:tcPr>
              <w:p w14:paraId="5D10205F" w14:textId="77777777" w:rsidR="00942517" w:rsidRDefault="00942517" w:rsidP="00942517">
                <w:pPr>
                  <w:rPr>
                    <w:b/>
                    <w:color w:val="0F3158"/>
                    <w:sz w:val="17"/>
                  </w:rPr>
                </w:pPr>
              </w:p>
              <w:p w14:paraId="4EB6CC4E" w14:textId="77777777" w:rsidR="00942517" w:rsidRDefault="00942517" w:rsidP="00942517">
                <w:pPr>
                  <w:rPr>
                    <w:b/>
                    <w:color w:val="0F3158"/>
                    <w:sz w:val="17"/>
                  </w:rPr>
                </w:pPr>
              </w:p>
              <w:p w14:paraId="55C8A679" w14:textId="77777777" w:rsidR="00942517" w:rsidRDefault="00942517" w:rsidP="00942517">
                <w:pPr>
                  <w:rPr>
                    <w:b/>
                    <w:color w:val="0F3158"/>
                    <w:sz w:val="17"/>
                  </w:rPr>
                </w:pPr>
              </w:p>
              <w:p w14:paraId="0DA75D81" w14:textId="77777777" w:rsidR="00942517" w:rsidRPr="007359E8" w:rsidRDefault="00942517" w:rsidP="00942517">
                <w:pPr>
                  <w:rPr>
                    <w:b/>
                    <w:color w:val="0F3158"/>
                    <w:sz w:val="17"/>
                  </w:rPr>
                </w:pPr>
                <w:r w:rsidRPr="007359E8">
                  <w:rPr>
                    <w:b/>
                    <w:color w:val="0F3158"/>
                    <w:sz w:val="17"/>
                  </w:rPr>
                  <w:t>Borderless Talent Hub</w:t>
                </w:r>
              </w:p>
            </w:tc>
          </w:tr>
        </w:tbl>
        <w:p w14:paraId="178C9715" w14:textId="671445F7" w:rsidR="00676E67" w:rsidRDefault="00676E67"/>
      </w:tc>
      <w:tc>
        <w:tcPr>
          <w:tcW w:w="4896" w:type="dxa"/>
        </w:tcPr>
        <w:p w14:paraId="3BD50242" w14:textId="5C273475" w:rsidR="00676E67" w:rsidRDefault="00676E67">
          <w:pPr>
            <w:jc w:val="right"/>
          </w:pP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102067810">
    <w:abstractNumId w:val="8"/>
  </w:num>
  <w:num w:numId="2" w16cid:durableId="163016213">
    <w:abstractNumId w:val="6"/>
  </w:num>
  <w:num w:numId="3" w16cid:durableId="136342197">
    <w:abstractNumId w:val="5"/>
  </w:num>
  <w:num w:numId="4" w16cid:durableId="1933465040">
    <w:abstractNumId w:val="4"/>
  </w:num>
  <w:num w:numId="5" w16cid:durableId="907498201">
    <w:abstractNumId w:val="7"/>
  </w:num>
  <w:num w:numId="6" w16cid:durableId="1490319679">
    <w:abstractNumId w:val="3"/>
  </w:num>
  <w:num w:numId="7" w16cid:durableId="1918201713">
    <w:abstractNumId w:val="2"/>
  </w:num>
  <w:num w:numId="8" w16cid:durableId="1878859072">
    <w:abstractNumId w:val="1"/>
  </w:num>
  <w:num w:numId="9" w16cid:durableId="10647169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676E67"/>
    <w:rsid w:val="007F1EAA"/>
    <w:rsid w:val="00942517"/>
    <w:rsid w:val="00950D52"/>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3539D9"/>
  <w14:defaultImageDpi w14:val="300"/>
  <w15:docId w15:val="{8451DD92-9E54-4E99-B409-E2CEA54B4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hAnsi="Aptos"/>
      <w:color w:val="262B33"/>
      <w:sz w:val="21"/>
    </w:rPr>
  </w:style>
  <w:style w:type="paragraph" w:styleId="Heading1">
    <w:name w:val="heading 1"/>
    <w:basedOn w:val="Normal"/>
    <w:next w:val="Normal"/>
    <w:link w:val="Heading1Char"/>
    <w:uiPriority w:val="9"/>
    <w:qFormat/>
    <w:rsid w:val="00FC693F"/>
    <w:pPr>
      <w:keepNext/>
      <w:keepLines/>
      <w:spacing w:before="280" w:after="120"/>
      <w:outlineLvl w:val="0"/>
    </w:pPr>
    <w:rPr>
      <w:rFonts w:asciiTheme="majorHAnsi" w:eastAsiaTheme="majorEastAsia" w:hAnsiTheme="majorHAnsi" w:cstheme="majorBidi"/>
      <w:b/>
      <w:bCs/>
      <w:color w:val="0F3158"/>
      <w:sz w:val="30"/>
      <w:szCs w:val="28"/>
    </w:rPr>
  </w:style>
  <w:style w:type="paragraph" w:styleId="Heading2">
    <w:name w:val="heading 2"/>
    <w:basedOn w:val="Normal"/>
    <w:next w:val="Normal"/>
    <w:link w:val="Heading2Char"/>
    <w:uiPriority w:val="9"/>
    <w:unhideWhenUsed/>
    <w:qFormat/>
    <w:rsid w:val="00FC693F"/>
    <w:pPr>
      <w:keepNext/>
      <w:keepLines/>
      <w:spacing w:before="200" w:after="80"/>
      <w:outlineLvl w:val="1"/>
    </w:pPr>
    <w:rPr>
      <w:rFonts w:asciiTheme="majorHAnsi" w:eastAsiaTheme="majorEastAsia" w:hAnsiTheme="majorHAnsi" w:cstheme="majorBidi"/>
      <w:b/>
      <w:bCs/>
      <w:color w:val="0F3158"/>
      <w:sz w:val="24"/>
      <w:szCs w:val="26"/>
    </w:rPr>
  </w:style>
  <w:style w:type="paragraph" w:styleId="Heading3">
    <w:name w:val="heading 3"/>
    <w:basedOn w:val="Normal"/>
    <w:next w:val="Normal"/>
    <w:link w:val="Heading3Char"/>
    <w:uiPriority w:val="9"/>
    <w:unhideWhenUsed/>
    <w:qFormat/>
    <w:rsid w:val="00FC693F"/>
    <w:pPr>
      <w:keepNext/>
      <w:keepLines/>
      <w:spacing w:before="160" w:after="40"/>
      <w:outlineLvl w:val="2"/>
    </w:pPr>
    <w:rPr>
      <w:rFonts w:asciiTheme="majorHAnsi" w:eastAsiaTheme="majorEastAsia" w:hAnsiTheme="majorHAnsi" w:cstheme="majorBidi"/>
      <w:b/>
      <w:bCs/>
      <w:color w:val="377EB8"/>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0F3158"/>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1020</Words>
  <Characters>5819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6826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Ubaid Rashid</cp:lastModifiedBy>
  <cp:revision>2</cp:revision>
  <dcterms:created xsi:type="dcterms:W3CDTF">2013-12-23T23:15:00Z</dcterms:created>
  <dcterms:modified xsi:type="dcterms:W3CDTF">2026-04-20T12:35:00Z</dcterms:modified>
  <cp:category/>
</cp:coreProperties>
</file>